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EB92CC" w14:textId="77777777" w:rsidR="00B04C62" w:rsidRPr="00B04C62" w:rsidRDefault="00B04C62" w:rsidP="00B04C62">
      <w:pPr>
        <w:spacing w:line="360" w:lineRule="auto"/>
        <w:jc w:val="both"/>
        <w:rPr>
          <w:rFonts w:ascii="Times New Roman" w:hAnsi="Times New Roman" w:cs="Times New Roman"/>
          <w:b/>
          <w:bCs/>
          <w:sz w:val="24"/>
          <w:szCs w:val="24"/>
        </w:rPr>
      </w:pPr>
      <w:r w:rsidRPr="00B04C62">
        <w:rPr>
          <w:rFonts w:ascii="Times New Roman" w:hAnsi="Times New Roman" w:cs="Times New Roman"/>
          <w:b/>
          <w:bCs/>
          <w:sz w:val="24"/>
          <w:szCs w:val="24"/>
        </w:rPr>
        <w:t>Groundwater quality index</w:t>
      </w:r>
    </w:p>
    <w:p w14:paraId="2B1BE1F9" w14:textId="160188E5" w:rsidR="000D6EE6" w:rsidRDefault="00B04C62" w:rsidP="00B04C62">
      <w:pPr>
        <w:spacing w:line="360" w:lineRule="auto"/>
        <w:jc w:val="both"/>
        <w:rPr>
          <w:rFonts w:ascii="Times New Roman" w:hAnsi="Times New Roman" w:cs="Times New Roman"/>
          <w:sz w:val="24"/>
          <w:szCs w:val="24"/>
        </w:rPr>
      </w:pPr>
      <w:r w:rsidRPr="00B04C62">
        <w:rPr>
          <w:rFonts w:ascii="Times New Roman" w:hAnsi="Times New Roman" w:cs="Times New Roman"/>
          <w:sz w:val="24"/>
          <w:szCs w:val="24"/>
        </w:rPr>
        <w:t>WQI is a tool aimed at simplifying and reporting scientific</w:t>
      </w:r>
      <w:r>
        <w:rPr>
          <w:rFonts w:ascii="Times New Roman" w:hAnsi="Times New Roman" w:cs="Times New Roman"/>
          <w:sz w:val="24"/>
          <w:szCs w:val="24"/>
        </w:rPr>
        <w:t xml:space="preserve"> </w:t>
      </w:r>
      <w:r w:rsidRPr="00B04C62">
        <w:rPr>
          <w:rFonts w:ascii="Times New Roman" w:hAnsi="Times New Roman" w:cs="Times New Roman"/>
          <w:sz w:val="24"/>
          <w:szCs w:val="24"/>
        </w:rPr>
        <w:t>water quality information that reflects on the composite</w:t>
      </w:r>
      <w:r>
        <w:rPr>
          <w:rFonts w:ascii="Times New Roman" w:hAnsi="Times New Roman" w:cs="Times New Roman"/>
          <w:sz w:val="24"/>
          <w:szCs w:val="24"/>
        </w:rPr>
        <w:t xml:space="preserve"> </w:t>
      </w:r>
      <w:r w:rsidRPr="00B04C62">
        <w:rPr>
          <w:rFonts w:ascii="Times New Roman" w:hAnsi="Times New Roman" w:cs="Times New Roman"/>
          <w:sz w:val="24"/>
          <w:szCs w:val="24"/>
        </w:rPr>
        <w:t>influence of different water quality parameters into</w:t>
      </w:r>
      <w:r>
        <w:rPr>
          <w:rFonts w:ascii="Times New Roman" w:hAnsi="Times New Roman" w:cs="Times New Roman"/>
          <w:sz w:val="24"/>
          <w:szCs w:val="24"/>
        </w:rPr>
        <w:t xml:space="preserve"> </w:t>
      </w:r>
      <w:r w:rsidRPr="00B04C62">
        <w:rPr>
          <w:rFonts w:ascii="Times New Roman" w:hAnsi="Times New Roman" w:cs="Times New Roman"/>
          <w:sz w:val="24"/>
          <w:szCs w:val="24"/>
        </w:rPr>
        <w:t>a single-digit score that describes overall water quality in</w:t>
      </w:r>
      <w:r>
        <w:rPr>
          <w:rFonts w:ascii="Times New Roman" w:hAnsi="Times New Roman" w:cs="Times New Roman"/>
          <w:sz w:val="24"/>
          <w:szCs w:val="24"/>
        </w:rPr>
        <w:t xml:space="preserve"> </w:t>
      </w:r>
      <w:r w:rsidRPr="00B04C62">
        <w:rPr>
          <w:rFonts w:ascii="Times New Roman" w:hAnsi="Times New Roman" w:cs="Times New Roman"/>
          <w:sz w:val="24"/>
          <w:szCs w:val="24"/>
        </w:rPr>
        <w:t>a catchment, thus providing policymakers and the public</w:t>
      </w:r>
      <w:r>
        <w:rPr>
          <w:rFonts w:ascii="Times New Roman" w:hAnsi="Times New Roman" w:cs="Times New Roman"/>
          <w:sz w:val="24"/>
          <w:szCs w:val="24"/>
        </w:rPr>
        <w:t xml:space="preserve"> </w:t>
      </w:r>
      <w:r w:rsidRPr="00B04C62">
        <w:rPr>
          <w:rFonts w:ascii="Times New Roman" w:hAnsi="Times New Roman" w:cs="Times New Roman"/>
          <w:sz w:val="24"/>
          <w:szCs w:val="24"/>
        </w:rPr>
        <w:t>with water quality relevant information that is usable and</w:t>
      </w:r>
      <w:r>
        <w:rPr>
          <w:rFonts w:ascii="Times New Roman" w:hAnsi="Times New Roman" w:cs="Times New Roman"/>
          <w:sz w:val="24"/>
          <w:szCs w:val="24"/>
        </w:rPr>
        <w:t xml:space="preserve"> </w:t>
      </w:r>
      <w:r w:rsidRPr="00B04C62">
        <w:rPr>
          <w:rFonts w:ascii="Times New Roman" w:hAnsi="Times New Roman" w:cs="Times New Roman"/>
          <w:sz w:val="24"/>
          <w:szCs w:val="24"/>
        </w:rPr>
        <w:t>easy to understand</w:t>
      </w:r>
      <w:r w:rsidR="00491FCC">
        <w:rPr>
          <w:rFonts w:ascii="Times New Roman" w:hAnsi="Times New Roman" w:cs="Times New Roman"/>
          <w:sz w:val="24"/>
          <w:szCs w:val="24"/>
        </w:rPr>
        <w:fldChar w:fldCharType="begin" w:fldLock="1"/>
      </w:r>
      <w:r w:rsidR="00491FCC">
        <w:rPr>
          <w:rFonts w:ascii="Times New Roman" w:hAnsi="Times New Roman" w:cs="Times New Roman"/>
          <w:sz w:val="24"/>
          <w:szCs w:val="24"/>
        </w:rPr>
        <w:instrText>ADDIN CSL_CITATION {"citationItems":[{"id":"ITEM-1","itemData":{"DOI":"10.1007/s40899-021-00503-1","ISBN":"0123456789","ISSN":"23635045","abstract":"Water quality assessment for water resource protection and management is key towards sustainable provision of potable water supply and in meeting sustainable development goals (SDGs) linked to clean water and sanitation. The spatial and temporal aspects of groundwater quality in the Nseleni catchment, South Africa (SA) was investigated, its suitability for domestic use was considered, and required protection measures were established. Using a hybrid approach methodology based on multiple water quality resource assessment techniques such as groundwater quality index (GQI) and concentration duration curves (CDCs), 72 groundwater samples collected from 1994 to 2017 were analysed for physico-chemical (Na+, Ca2+, Mg2+, Cl−, SO42−, NO3−, F−, EC, pH) parameters. Approximately, 33.3% of groundwater samples in the Nseleni catchment were found suitable for drinking when compared to South African water quality guidelines. The use of a hybrid approach method showed that overall groundwater quality in the study catchment was classified as excellent for domestic water use when the groundwater quality index was calculated to be 39.11. Groundwater quality reserve limits for groundwater resources protection were determined for the nine water quality parameters using CDCs. The study concluded that using groundwater quality index and concentration duration curves, it was feasible to classify groundwater resources for improved groundwater quality of reserve determination in the South African context. The study recommends the application of the hybrid method in various catchments of similar characteristics to the studied catchment for setting groundwater quality limits that would contribute towards achieving the goal of groundwater resources protection in other catchments.","author":[{"dropping-particle":"","family":"Nzama","given":"S. M.","non-dropping-particle":"","parse-names":false,"suffix":""},{"dropping-particle":"","family":"Kanyerere","given":"T. O.B.","non-dropping-particle":"","parse-names":false,"suffix":""},{"dropping-particle":"","family":"Mapoma","given":"H. W.T.","non-dropping-particle":"","parse-names":false,"suffix":""}],"container-title":"Sustainable Water Resources Management","id":"ITEM-1","issue":"3","issued":{"date-parts":[["2021"]]},"page":"1-11","publisher":"Springer International Publishing","title":"Using groundwater quality index and concentration duration curves for classification and protection of groundwater resources: relevance of groundwater quality of reserve determination, South Africa","type":"article-journal","volume":"7"},"uris":["http://www.mendeley.com/documents/?uuid=e87f2654-9740-401a-b6f5-96c94e8ecd45"]}],"mendeley":{"formattedCitation":"(Nzama et al., 2021)","plainTextFormattedCitation":"(Nzama et al., 2021)","previouslyFormattedCitation":"(Nzama et al., 2021)"},"properties":{"noteIndex":0},"schema":"https://github.com/citation-style-language/schema/raw/master/csl-citation.json"}</w:instrText>
      </w:r>
      <w:r w:rsidR="00491FCC">
        <w:rPr>
          <w:rFonts w:ascii="Times New Roman" w:hAnsi="Times New Roman" w:cs="Times New Roman"/>
          <w:sz w:val="24"/>
          <w:szCs w:val="24"/>
        </w:rPr>
        <w:fldChar w:fldCharType="separate"/>
      </w:r>
      <w:r w:rsidR="00491FCC" w:rsidRPr="00491FCC">
        <w:rPr>
          <w:rFonts w:ascii="Times New Roman" w:hAnsi="Times New Roman" w:cs="Times New Roman"/>
          <w:noProof/>
          <w:sz w:val="24"/>
          <w:szCs w:val="24"/>
        </w:rPr>
        <w:t>(</w:t>
      </w:r>
      <w:proofErr w:type="spellStart"/>
      <w:r w:rsidR="00491FCC" w:rsidRPr="00491FCC">
        <w:rPr>
          <w:rFonts w:ascii="Times New Roman" w:hAnsi="Times New Roman" w:cs="Times New Roman"/>
          <w:noProof/>
          <w:sz w:val="24"/>
          <w:szCs w:val="24"/>
        </w:rPr>
        <w:t>Nzama</w:t>
      </w:r>
      <w:proofErr w:type="spellEnd"/>
      <w:r w:rsidR="00491FCC" w:rsidRPr="00491FCC">
        <w:rPr>
          <w:rFonts w:ascii="Times New Roman" w:hAnsi="Times New Roman" w:cs="Times New Roman"/>
          <w:noProof/>
          <w:sz w:val="24"/>
          <w:szCs w:val="24"/>
        </w:rPr>
        <w:t xml:space="preserve"> et al., 2021)</w:t>
      </w:r>
      <w:r w:rsidR="00491FCC">
        <w:rPr>
          <w:rFonts w:ascii="Times New Roman" w:hAnsi="Times New Roman" w:cs="Times New Roman"/>
          <w:sz w:val="24"/>
          <w:szCs w:val="24"/>
        </w:rPr>
        <w:fldChar w:fldCharType="end"/>
      </w:r>
      <w:r w:rsidRPr="00B04C62">
        <w:rPr>
          <w:rFonts w:ascii="Times New Roman" w:hAnsi="Times New Roman" w:cs="Times New Roman"/>
          <w:sz w:val="24"/>
          <w:szCs w:val="24"/>
        </w:rPr>
        <w:t>. To get a</w:t>
      </w:r>
      <w:r>
        <w:rPr>
          <w:rFonts w:ascii="Times New Roman" w:hAnsi="Times New Roman" w:cs="Times New Roman"/>
          <w:sz w:val="24"/>
          <w:szCs w:val="24"/>
        </w:rPr>
        <w:t xml:space="preserve"> </w:t>
      </w:r>
      <w:r w:rsidRPr="00B04C62">
        <w:rPr>
          <w:rFonts w:ascii="Times New Roman" w:hAnsi="Times New Roman" w:cs="Times New Roman"/>
          <w:sz w:val="24"/>
          <w:szCs w:val="24"/>
        </w:rPr>
        <w:t>comprehensive picture of the overall groundwater quality in</w:t>
      </w:r>
      <w:r>
        <w:rPr>
          <w:rFonts w:ascii="Times New Roman" w:hAnsi="Times New Roman" w:cs="Times New Roman"/>
          <w:sz w:val="24"/>
          <w:szCs w:val="24"/>
        </w:rPr>
        <w:t xml:space="preserve"> </w:t>
      </w:r>
      <w:r w:rsidRPr="00B04C62">
        <w:rPr>
          <w:rFonts w:ascii="Times New Roman" w:hAnsi="Times New Roman" w:cs="Times New Roman"/>
          <w:sz w:val="24"/>
          <w:szCs w:val="24"/>
        </w:rPr>
        <w:t>the study area, the WQI methodology was used to calculate</w:t>
      </w:r>
      <w:r>
        <w:rPr>
          <w:rFonts w:ascii="Times New Roman" w:hAnsi="Times New Roman" w:cs="Times New Roman"/>
          <w:sz w:val="24"/>
          <w:szCs w:val="24"/>
        </w:rPr>
        <w:t xml:space="preserve"> </w:t>
      </w:r>
      <w:r w:rsidRPr="00B04C62">
        <w:rPr>
          <w:rFonts w:ascii="Times New Roman" w:hAnsi="Times New Roman" w:cs="Times New Roman"/>
          <w:sz w:val="24"/>
          <w:szCs w:val="24"/>
        </w:rPr>
        <w:t>the groundwater quality index (GQI) of the study area. In</w:t>
      </w:r>
      <w:r>
        <w:rPr>
          <w:rFonts w:ascii="Times New Roman" w:hAnsi="Times New Roman" w:cs="Times New Roman"/>
          <w:sz w:val="24"/>
          <w:szCs w:val="24"/>
        </w:rPr>
        <w:t xml:space="preserve"> </w:t>
      </w:r>
      <w:r w:rsidRPr="00B04C62">
        <w:rPr>
          <w:rFonts w:ascii="Times New Roman" w:hAnsi="Times New Roman" w:cs="Times New Roman"/>
          <w:sz w:val="24"/>
          <w:szCs w:val="24"/>
        </w:rPr>
        <w:t>calculating GQI and setting of groundwater quality reserve</w:t>
      </w:r>
      <w:r>
        <w:rPr>
          <w:rFonts w:ascii="Times New Roman" w:hAnsi="Times New Roman" w:cs="Times New Roman"/>
          <w:sz w:val="24"/>
          <w:szCs w:val="24"/>
        </w:rPr>
        <w:t xml:space="preserve"> </w:t>
      </w:r>
      <w:r w:rsidRPr="00B04C62">
        <w:rPr>
          <w:rFonts w:ascii="Times New Roman" w:hAnsi="Times New Roman" w:cs="Times New Roman"/>
          <w:sz w:val="24"/>
          <w:szCs w:val="24"/>
        </w:rPr>
        <w:t>limits in the present study, the South African water quality</w:t>
      </w:r>
      <w:r>
        <w:rPr>
          <w:rFonts w:ascii="Times New Roman" w:hAnsi="Times New Roman" w:cs="Times New Roman"/>
          <w:sz w:val="24"/>
          <w:szCs w:val="24"/>
        </w:rPr>
        <w:t xml:space="preserve"> </w:t>
      </w:r>
      <w:r w:rsidRPr="00B04C62">
        <w:rPr>
          <w:rFonts w:ascii="Times New Roman" w:hAnsi="Times New Roman" w:cs="Times New Roman"/>
          <w:sz w:val="24"/>
          <w:szCs w:val="24"/>
        </w:rPr>
        <w:t>guidelines WRC (1998) and SANS 241(2015) for domestic</w:t>
      </w:r>
      <w:r>
        <w:rPr>
          <w:rFonts w:ascii="Times New Roman" w:hAnsi="Times New Roman" w:cs="Times New Roman"/>
          <w:sz w:val="24"/>
          <w:szCs w:val="24"/>
        </w:rPr>
        <w:t xml:space="preserve"> </w:t>
      </w:r>
      <w:r w:rsidRPr="00B04C62">
        <w:rPr>
          <w:rFonts w:ascii="Times New Roman" w:hAnsi="Times New Roman" w:cs="Times New Roman"/>
          <w:sz w:val="24"/>
          <w:szCs w:val="24"/>
        </w:rPr>
        <w:t>use were taken into consideration. A five-step procedure was</w:t>
      </w:r>
      <w:r>
        <w:rPr>
          <w:rFonts w:ascii="Times New Roman" w:hAnsi="Times New Roman" w:cs="Times New Roman"/>
          <w:sz w:val="24"/>
          <w:szCs w:val="24"/>
        </w:rPr>
        <w:t xml:space="preserve"> </w:t>
      </w:r>
      <w:r w:rsidRPr="00B04C62">
        <w:rPr>
          <w:rFonts w:ascii="Times New Roman" w:hAnsi="Times New Roman" w:cs="Times New Roman"/>
          <w:sz w:val="24"/>
          <w:szCs w:val="24"/>
        </w:rPr>
        <w:t>followed in undertaking the process of determining GQI.</w:t>
      </w:r>
      <w:r>
        <w:rPr>
          <w:rFonts w:ascii="Times New Roman" w:hAnsi="Times New Roman" w:cs="Times New Roman"/>
          <w:sz w:val="24"/>
          <w:szCs w:val="24"/>
        </w:rPr>
        <w:t xml:space="preserve"> </w:t>
      </w:r>
      <w:r w:rsidRPr="00B04C62">
        <w:rPr>
          <w:rFonts w:ascii="Times New Roman" w:hAnsi="Times New Roman" w:cs="Times New Roman"/>
          <w:sz w:val="24"/>
          <w:szCs w:val="24"/>
        </w:rPr>
        <w:t>The first step involved assigning weight (</w:t>
      </w:r>
      <w:proofErr w:type="spellStart"/>
      <w:r w:rsidRPr="00B04C62">
        <w:rPr>
          <w:rFonts w:ascii="Times New Roman" w:hAnsi="Times New Roman" w:cs="Times New Roman"/>
          <w:sz w:val="24"/>
          <w:szCs w:val="24"/>
        </w:rPr>
        <w:t>wi</w:t>
      </w:r>
      <w:proofErr w:type="spellEnd"/>
      <w:r w:rsidRPr="00B04C62">
        <w:rPr>
          <w:rFonts w:ascii="Times New Roman" w:hAnsi="Times New Roman" w:cs="Times New Roman"/>
          <w:sz w:val="24"/>
          <w:szCs w:val="24"/>
        </w:rPr>
        <w:t>) to the selected</w:t>
      </w:r>
      <w:r>
        <w:rPr>
          <w:rFonts w:ascii="Times New Roman" w:hAnsi="Times New Roman" w:cs="Times New Roman"/>
          <w:sz w:val="24"/>
          <w:szCs w:val="24"/>
        </w:rPr>
        <w:t xml:space="preserve"> </w:t>
      </w:r>
      <w:r w:rsidRPr="00B04C62">
        <w:rPr>
          <w:rFonts w:ascii="Times New Roman" w:hAnsi="Times New Roman" w:cs="Times New Roman"/>
          <w:sz w:val="24"/>
          <w:szCs w:val="24"/>
        </w:rPr>
        <w:t>water quality parameters such as pH, electrical conductivity,</w:t>
      </w:r>
      <w:r>
        <w:rPr>
          <w:rFonts w:ascii="Times New Roman" w:hAnsi="Times New Roman" w:cs="Times New Roman"/>
          <w:sz w:val="24"/>
          <w:szCs w:val="24"/>
        </w:rPr>
        <w:t xml:space="preserve"> </w:t>
      </w:r>
      <w:r w:rsidRPr="00B04C62">
        <w:rPr>
          <w:rFonts w:ascii="Times New Roman" w:hAnsi="Times New Roman" w:cs="Times New Roman"/>
          <w:sz w:val="24"/>
          <w:szCs w:val="24"/>
        </w:rPr>
        <w:t>calcium, magnesium, sodium, chloride, sulphate, nitrate, and</w:t>
      </w:r>
      <w:r>
        <w:rPr>
          <w:rFonts w:ascii="Times New Roman" w:hAnsi="Times New Roman" w:cs="Times New Roman"/>
          <w:sz w:val="24"/>
          <w:szCs w:val="24"/>
        </w:rPr>
        <w:t xml:space="preserve"> </w:t>
      </w:r>
      <w:r w:rsidRPr="00B04C62">
        <w:rPr>
          <w:rFonts w:ascii="Times New Roman" w:hAnsi="Times New Roman" w:cs="Times New Roman"/>
          <w:sz w:val="24"/>
          <w:szCs w:val="24"/>
        </w:rPr>
        <w:t>fluoride according to their relative importance for domestic</w:t>
      </w:r>
      <w:r>
        <w:rPr>
          <w:rFonts w:ascii="Times New Roman" w:hAnsi="Times New Roman" w:cs="Times New Roman"/>
          <w:sz w:val="24"/>
          <w:szCs w:val="24"/>
        </w:rPr>
        <w:t xml:space="preserve"> </w:t>
      </w:r>
      <w:r w:rsidRPr="00B04C62">
        <w:rPr>
          <w:rFonts w:ascii="Times New Roman" w:hAnsi="Times New Roman" w:cs="Times New Roman"/>
          <w:sz w:val="24"/>
          <w:szCs w:val="24"/>
        </w:rPr>
        <w:t>water use. In the second step, a relative weight (Wi) for each</w:t>
      </w:r>
      <w:r>
        <w:rPr>
          <w:rFonts w:ascii="Times New Roman" w:hAnsi="Times New Roman" w:cs="Times New Roman"/>
          <w:sz w:val="24"/>
          <w:szCs w:val="24"/>
        </w:rPr>
        <w:t xml:space="preserve"> </w:t>
      </w:r>
      <w:r w:rsidRPr="00B04C62">
        <w:rPr>
          <w:rFonts w:ascii="Times New Roman" w:hAnsi="Times New Roman" w:cs="Times New Roman"/>
          <w:sz w:val="24"/>
          <w:szCs w:val="24"/>
        </w:rPr>
        <w:t>of the selected water quality parameters was calculated using</w:t>
      </w:r>
      <w:r>
        <w:rPr>
          <w:rFonts w:ascii="Times New Roman" w:hAnsi="Times New Roman" w:cs="Times New Roman"/>
          <w:sz w:val="24"/>
          <w:szCs w:val="24"/>
        </w:rPr>
        <w:t xml:space="preserve"> </w:t>
      </w:r>
      <w:r w:rsidRPr="00B04C62">
        <w:rPr>
          <w:rFonts w:ascii="Times New Roman" w:hAnsi="Times New Roman" w:cs="Times New Roman"/>
          <w:sz w:val="24"/>
          <w:szCs w:val="24"/>
        </w:rPr>
        <w:t>Eq. (</w:t>
      </w:r>
      <w:r>
        <w:rPr>
          <w:rFonts w:ascii="Times New Roman" w:hAnsi="Times New Roman" w:cs="Times New Roman"/>
          <w:sz w:val="24"/>
          <w:szCs w:val="24"/>
        </w:rPr>
        <w:t>1</w:t>
      </w:r>
      <w:r w:rsidRPr="00B04C62">
        <w:rPr>
          <w:rFonts w:ascii="Times New Roman" w:hAnsi="Times New Roman" w:cs="Times New Roman"/>
          <w:sz w:val="24"/>
          <w:szCs w:val="24"/>
        </w:rPr>
        <w:t>).</w:t>
      </w:r>
    </w:p>
    <w:p w14:paraId="6FD17AD4" w14:textId="2AB37A3D" w:rsidR="00B04C62" w:rsidRDefault="00762F24" w:rsidP="00B04C62">
      <w:pPr>
        <w:spacing w:line="360" w:lineRule="auto"/>
        <w:jc w:val="both"/>
        <w:rPr>
          <w:rFonts w:ascii="Times New Roman" w:eastAsiaTheme="minorEastAsia" w:hAnsi="Times New Roman" w:cs="Times New Roman"/>
          <w:sz w:val="24"/>
          <w:szCs w:val="24"/>
        </w:rPr>
      </w:pPr>
      <m:oMath>
        <m:r>
          <w:rPr>
            <w:rFonts w:ascii="Cambria Math" w:hAnsi="Cambria Math" w:cs="Times New Roman"/>
            <w:sz w:val="24"/>
            <w:szCs w:val="24"/>
          </w:rPr>
          <m:t>Wi=wi/</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r>
              <w:rPr>
                <w:rFonts w:ascii="Cambria Math" w:hAnsi="Cambria Math" w:cs="Times New Roman"/>
                <w:sz w:val="24"/>
                <w:szCs w:val="24"/>
              </w:rPr>
              <m:t>wi</m:t>
            </m:r>
          </m:e>
        </m:nary>
      </m:oMath>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r>
      <w:r w:rsidR="00B04C62">
        <w:rPr>
          <w:rFonts w:ascii="Times New Roman" w:eastAsiaTheme="minorEastAsia" w:hAnsi="Times New Roman" w:cs="Times New Roman"/>
          <w:sz w:val="24"/>
          <w:szCs w:val="24"/>
        </w:rPr>
        <w:tab/>
        <w:t>(1)</w:t>
      </w:r>
    </w:p>
    <w:p w14:paraId="6E9A5924" w14:textId="56F4EF29" w:rsidR="00B04C62" w:rsidRDefault="00B04C62" w:rsidP="00B04C62">
      <w:pPr>
        <w:spacing w:line="360" w:lineRule="auto"/>
        <w:jc w:val="both"/>
        <w:rPr>
          <w:rFonts w:ascii="Times New Roman" w:hAnsi="Times New Roman" w:cs="Times New Roman"/>
          <w:sz w:val="24"/>
          <w:szCs w:val="24"/>
        </w:rPr>
      </w:pPr>
      <w:r w:rsidRPr="00B04C62">
        <w:rPr>
          <w:rFonts w:ascii="Times New Roman" w:hAnsi="Times New Roman" w:cs="Times New Roman"/>
          <w:sz w:val="24"/>
          <w:szCs w:val="24"/>
        </w:rPr>
        <w:t>The third step involved calculating and assigning a quality</w:t>
      </w:r>
      <w:r>
        <w:rPr>
          <w:rFonts w:ascii="Times New Roman" w:hAnsi="Times New Roman" w:cs="Times New Roman"/>
          <w:sz w:val="24"/>
          <w:szCs w:val="24"/>
        </w:rPr>
        <w:t xml:space="preserve"> </w:t>
      </w:r>
      <w:r w:rsidRPr="00B04C62">
        <w:rPr>
          <w:rFonts w:ascii="Times New Roman" w:hAnsi="Times New Roman" w:cs="Times New Roman"/>
          <w:sz w:val="24"/>
          <w:szCs w:val="24"/>
        </w:rPr>
        <w:t>rating scale (</w:t>
      </w:r>
      <w:r w:rsidRPr="00B04C62">
        <w:rPr>
          <w:rFonts w:ascii="Times New Roman" w:hAnsi="Times New Roman" w:cs="Times New Roman"/>
          <w:i/>
          <w:iCs/>
          <w:sz w:val="24"/>
          <w:szCs w:val="24"/>
        </w:rPr>
        <w:t>qi</w:t>
      </w:r>
      <w:r w:rsidRPr="00B04C62">
        <w:rPr>
          <w:rFonts w:ascii="Times New Roman" w:hAnsi="Times New Roman" w:cs="Times New Roman"/>
          <w:sz w:val="24"/>
          <w:szCs w:val="24"/>
        </w:rPr>
        <w:t>) for each parameter by dividing the concentration</w:t>
      </w:r>
      <w:r>
        <w:rPr>
          <w:rFonts w:ascii="Times New Roman" w:hAnsi="Times New Roman" w:cs="Times New Roman"/>
          <w:sz w:val="24"/>
          <w:szCs w:val="24"/>
        </w:rPr>
        <w:t xml:space="preserve"> </w:t>
      </w:r>
      <w:r w:rsidRPr="00B04C62">
        <w:rPr>
          <w:rFonts w:ascii="Times New Roman" w:hAnsi="Times New Roman" w:cs="Times New Roman"/>
          <w:sz w:val="24"/>
          <w:szCs w:val="24"/>
        </w:rPr>
        <w:t>of each water quality parameter (</w:t>
      </w:r>
      <w:r w:rsidRPr="00B04C62">
        <w:rPr>
          <w:rFonts w:ascii="Times New Roman" w:hAnsi="Times New Roman" w:cs="Times New Roman"/>
          <w:i/>
          <w:iCs/>
          <w:sz w:val="24"/>
          <w:szCs w:val="24"/>
        </w:rPr>
        <w:t>Ci</w:t>
      </w:r>
      <w:r w:rsidRPr="00B04C62">
        <w:rPr>
          <w:rFonts w:ascii="Times New Roman" w:hAnsi="Times New Roman" w:cs="Times New Roman"/>
          <w:sz w:val="24"/>
          <w:szCs w:val="24"/>
        </w:rPr>
        <w:t>) by its respective</w:t>
      </w:r>
      <w:r>
        <w:rPr>
          <w:rFonts w:ascii="Times New Roman" w:hAnsi="Times New Roman" w:cs="Times New Roman"/>
          <w:sz w:val="24"/>
          <w:szCs w:val="24"/>
        </w:rPr>
        <w:t xml:space="preserve"> </w:t>
      </w:r>
      <w:r w:rsidRPr="00B04C62">
        <w:rPr>
          <w:rFonts w:ascii="Times New Roman" w:hAnsi="Times New Roman" w:cs="Times New Roman"/>
          <w:sz w:val="24"/>
          <w:szCs w:val="24"/>
        </w:rPr>
        <w:t>South African water quality standard for domestic use (</w:t>
      </w:r>
      <w:r w:rsidRPr="00B04C62">
        <w:rPr>
          <w:rFonts w:ascii="Times New Roman" w:hAnsi="Times New Roman" w:cs="Times New Roman"/>
          <w:i/>
          <w:iCs/>
          <w:sz w:val="24"/>
          <w:szCs w:val="24"/>
        </w:rPr>
        <w:t>Si</w:t>
      </w:r>
      <w:r w:rsidRPr="00B04C62">
        <w:rPr>
          <w:rFonts w:ascii="Times New Roman" w:hAnsi="Times New Roman" w:cs="Times New Roman"/>
          <w:sz w:val="24"/>
          <w:szCs w:val="24"/>
        </w:rPr>
        <w:t>).</w:t>
      </w:r>
      <w:r>
        <w:rPr>
          <w:rFonts w:ascii="Times New Roman" w:hAnsi="Times New Roman" w:cs="Times New Roman"/>
          <w:sz w:val="24"/>
          <w:szCs w:val="24"/>
        </w:rPr>
        <w:t xml:space="preserve"> </w:t>
      </w:r>
      <w:r w:rsidRPr="00B04C62">
        <w:rPr>
          <w:rFonts w:ascii="Times New Roman" w:hAnsi="Times New Roman" w:cs="Times New Roman"/>
          <w:sz w:val="24"/>
          <w:szCs w:val="24"/>
        </w:rPr>
        <w:t>In the case where WRC (1998) guideline was used, numerical</w:t>
      </w:r>
      <w:r>
        <w:rPr>
          <w:rFonts w:ascii="Times New Roman" w:hAnsi="Times New Roman" w:cs="Times New Roman"/>
          <w:sz w:val="24"/>
          <w:szCs w:val="24"/>
        </w:rPr>
        <w:t xml:space="preserve"> </w:t>
      </w:r>
      <w:r w:rsidRPr="00B04C62">
        <w:rPr>
          <w:rFonts w:ascii="Times New Roman" w:hAnsi="Times New Roman" w:cs="Times New Roman"/>
          <w:sz w:val="24"/>
          <w:szCs w:val="24"/>
        </w:rPr>
        <w:t>limits for class I were considered, and in the case where</w:t>
      </w:r>
      <w:r>
        <w:rPr>
          <w:rFonts w:ascii="Times New Roman" w:hAnsi="Times New Roman" w:cs="Times New Roman"/>
          <w:sz w:val="24"/>
          <w:szCs w:val="24"/>
        </w:rPr>
        <w:t xml:space="preserve"> </w:t>
      </w:r>
      <w:r w:rsidRPr="00B04C62">
        <w:rPr>
          <w:rFonts w:ascii="Times New Roman" w:hAnsi="Times New Roman" w:cs="Times New Roman"/>
          <w:sz w:val="24"/>
          <w:szCs w:val="24"/>
        </w:rPr>
        <w:t>SANS 241(2015) standard was used, numerical limits as</w:t>
      </w:r>
      <w:r>
        <w:rPr>
          <w:rFonts w:ascii="Times New Roman" w:hAnsi="Times New Roman" w:cs="Times New Roman"/>
          <w:sz w:val="24"/>
          <w:szCs w:val="24"/>
        </w:rPr>
        <w:t xml:space="preserve"> </w:t>
      </w:r>
      <w:r w:rsidRPr="00B04C62">
        <w:rPr>
          <w:rFonts w:ascii="Times New Roman" w:hAnsi="Times New Roman" w:cs="Times New Roman"/>
          <w:sz w:val="24"/>
          <w:szCs w:val="24"/>
        </w:rPr>
        <w:t>specified in the standard were considered. The results were</w:t>
      </w:r>
      <w:r>
        <w:rPr>
          <w:rFonts w:ascii="Times New Roman" w:hAnsi="Times New Roman" w:cs="Times New Roman"/>
          <w:sz w:val="24"/>
          <w:szCs w:val="24"/>
        </w:rPr>
        <w:t xml:space="preserve"> </w:t>
      </w:r>
      <w:r w:rsidRPr="00B04C62">
        <w:rPr>
          <w:rFonts w:ascii="Times New Roman" w:hAnsi="Times New Roman" w:cs="Times New Roman"/>
          <w:sz w:val="24"/>
          <w:szCs w:val="24"/>
        </w:rPr>
        <w:t>converted to percentage using Eq. (</w:t>
      </w:r>
      <w:r>
        <w:rPr>
          <w:rFonts w:ascii="Times New Roman" w:hAnsi="Times New Roman" w:cs="Times New Roman"/>
          <w:sz w:val="24"/>
          <w:szCs w:val="24"/>
        </w:rPr>
        <w:t>2</w:t>
      </w:r>
      <w:r w:rsidRPr="00B04C62">
        <w:rPr>
          <w:rFonts w:ascii="Times New Roman" w:hAnsi="Times New Roman" w:cs="Times New Roman"/>
          <w:sz w:val="24"/>
          <w:szCs w:val="24"/>
        </w:rPr>
        <w:t>).</w:t>
      </w:r>
    </w:p>
    <w:p w14:paraId="2F77601B" w14:textId="0DBA5989" w:rsidR="00B04C62" w:rsidRDefault="00762F24" w:rsidP="00B04C62">
      <w:pPr>
        <w:spacing w:line="360" w:lineRule="auto"/>
        <w:jc w:val="both"/>
        <w:rPr>
          <w:rFonts w:ascii="Times New Roman" w:eastAsiaTheme="minorEastAsia" w:hAnsi="Times New Roman" w:cs="Times New Roman"/>
          <w:sz w:val="24"/>
          <w:szCs w:val="24"/>
        </w:rPr>
      </w:pPr>
      <m:oMath>
        <m:r>
          <w:rPr>
            <w:rFonts w:ascii="Cambria Math" w:hAnsi="Cambria Math" w:cs="Times New Roman"/>
            <w:sz w:val="24"/>
            <w:szCs w:val="24"/>
          </w:rPr>
          <m:t>qi=</m:t>
        </m:r>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Ci</m:t>
                </m:r>
              </m:num>
              <m:den>
                <m:r>
                  <w:rPr>
                    <w:rFonts w:ascii="Cambria Math" w:hAnsi="Cambria Math" w:cs="Times New Roman"/>
                    <w:sz w:val="24"/>
                    <w:szCs w:val="24"/>
                  </w:rPr>
                  <m:t>Si</m:t>
                </m:r>
              </m:den>
            </m:f>
          </m:e>
        </m:d>
        <m:r>
          <w:rPr>
            <w:rFonts w:ascii="Cambria Math" w:hAnsi="Cambria Math" w:cs="Times New Roman"/>
            <w:sz w:val="24"/>
            <w:szCs w:val="24"/>
          </w:rPr>
          <m:t>×100</m:t>
        </m:r>
      </m:oMath>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t>(2)</w:t>
      </w:r>
    </w:p>
    <w:p w14:paraId="28C9DD39" w14:textId="3FC70F32" w:rsidR="00762F24" w:rsidRDefault="00762F24" w:rsidP="00762F24">
      <w:pPr>
        <w:spacing w:line="360" w:lineRule="auto"/>
        <w:jc w:val="both"/>
        <w:rPr>
          <w:rFonts w:ascii="Times New Roman" w:hAnsi="Times New Roman" w:cs="Times New Roman"/>
          <w:sz w:val="24"/>
          <w:szCs w:val="24"/>
        </w:rPr>
      </w:pPr>
      <w:r w:rsidRPr="00762F24">
        <w:rPr>
          <w:rFonts w:ascii="Times New Roman" w:hAnsi="Times New Roman" w:cs="Times New Roman"/>
          <w:sz w:val="24"/>
          <w:szCs w:val="24"/>
        </w:rPr>
        <w:t>The sub-index (</w:t>
      </w:r>
      <w:proofErr w:type="spellStart"/>
      <w:r w:rsidRPr="00762F24">
        <w:rPr>
          <w:rFonts w:ascii="Times New Roman" w:hAnsi="Times New Roman" w:cs="Times New Roman"/>
          <w:i/>
          <w:iCs/>
          <w:sz w:val="24"/>
          <w:szCs w:val="24"/>
        </w:rPr>
        <w:t>SIi</w:t>
      </w:r>
      <w:proofErr w:type="spellEnd"/>
      <w:r w:rsidRPr="00762F24">
        <w:rPr>
          <w:rFonts w:ascii="Times New Roman" w:hAnsi="Times New Roman" w:cs="Times New Roman"/>
          <w:sz w:val="24"/>
          <w:szCs w:val="24"/>
        </w:rPr>
        <w:t>) for each water quality parameter was calculated</w:t>
      </w:r>
      <w:r>
        <w:rPr>
          <w:rFonts w:ascii="Times New Roman" w:hAnsi="Times New Roman" w:cs="Times New Roman"/>
          <w:sz w:val="24"/>
          <w:szCs w:val="24"/>
        </w:rPr>
        <w:t xml:space="preserve"> </w:t>
      </w:r>
      <w:r w:rsidRPr="00762F24">
        <w:rPr>
          <w:rFonts w:ascii="Times New Roman" w:hAnsi="Times New Roman" w:cs="Times New Roman"/>
          <w:sz w:val="24"/>
          <w:szCs w:val="24"/>
        </w:rPr>
        <w:t>in the fourth step using the formula in Eq. (</w:t>
      </w:r>
      <w:r>
        <w:rPr>
          <w:rFonts w:ascii="Times New Roman" w:hAnsi="Times New Roman" w:cs="Times New Roman"/>
          <w:sz w:val="24"/>
          <w:szCs w:val="24"/>
        </w:rPr>
        <w:t>3</w:t>
      </w:r>
      <w:r w:rsidRPr="00762F24">
        <w:rPr>
          <w:rFonts w:ascii="Times New Roman" w:hAnsi="Times New Roman" w:cs="Times New Roman"/>
          <w:sz w:val="24"/>
          <w:szCs w:val="24"/>
        </w:rPr>
        <w:t>).</w:t>
      </w:r>
    </w:p>
    <w:p w14:paraId="432A12CE" w14:textId="02B1F332" w:rsidR="00762F24" w:rsidRDefault="00762F24" w:rsidP="00762F24">
      <w:pPr>
        <w:spacing w:line="360" w:lineRule="auto"/>
        <w:jc w:val="both"/>
        <w:rPr>
          <w:rFonts w:ascii="Times New Roman" w:eastAsiaTheme="minorEastAsia" w:hAnsi="Times New Roman" w:cs="Times New Roman"/>
          <w:sz w:val="24"/>
          <w:szCs w:val="24"/>
        </w:rPr>
      </w:pPr>
      <m:oMath>
        <m:r>
          <w:rPr>
            <w:rFonts w:ascii="Cambria Math" w:hAnsi="Cambria Math" w:cs="Times New Roman"/>
            <w:sz w:val="24"/>
            <w:szCs w:val="24"/>
          </w:rPr>
          <m:t>Sli=Wi×qi</m:t>
        </m:r>
      </m:oMath>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t>(3)</w:t>
      </w:r>
    </w:p>
    <w:p w14:paraId="2FB9843A" w14:textId="1E74B508" w:rsidR="00762F24" w:rsidRDefault="00762F24" w:rsidP="00762F24">
      <w:pPr>
        <w:spacing w:line="360" w:lineRule="auto"/>
        <w:jc w:val="both"/>
        <w:rPr>
          <w:rFonts w:ascii="Times New Roman" w:hAnsi="Times New Roman" w:cs="Times New Roman"/>
          <w:sz w:val="24"/>
          <w:szCs w:val="24"/>
        </w:rPr>
      </w:pPr>
      <w:r w:rsidRPr="00762F24">
        <w:rPr>
          <w:rFonts w:ascii="Times New Roman" w:hAnsi="Times New Roman" w:cs="Times New Roman"/>
          <w:sz w:val="24"/>
          <w:szCs w:val="24"/>
        </w:rPr>
        <w:t xml:space="preserve">In the fifth step, </w:t>
      </w:r>
      <w:r w:rsidRPr="00762F24">
        <w:rPr>
          <w:rFonts w:ascii="Times New Roman" w:hAnsi="Times New Roman" w:cs="Times New Roman"/>
          <w:i/>
          <w:iCs/>
          <w:sz w:val="24"/>
          <w:szCs w:val="24"/>
        </w:rPr>
        <w:t xml:space="preserve">GQI </w:t>
      </w:r>
      <w:r w:rsidRPr="00762F24">
        <w:rPr>
          <w:rFonts w:ascii="Times New Roman" w:hAnsi="Times New Roman" w:cs="Times New Roman"/>
          <w:sz w:val="24"/>
          <w:szCs w:val="24"/>
        </w:rPr>
        <w:t>for the entire study area was calculated</w:t>
      </w:r>
      <w:r>
        <w:rPr>
          <w:rFonts w:ascii="Times New Roman" w:hAnsi="Times New Roman" w:cs="Times New Roman"/>
          <w:sz w:val="24"/>
          <w:szCs w:val="24"/>
        </w:rPr>
        <w:t xml:space="preserve"> </w:t>
      </w:r>
      <w:r w:rsidRPr="00762F24">
        <w:rPr>
          <w:rFonts w:ascii="Times New Roman" w:hAnsi="Times New Roman" w:cs="Times New Roman"/>
          <w:sz w:val="24"/>
          <w:szCs w:val="24"/>
        </w:rPr>
        <w:t>using Eq. (</w:t>
      </w:r>
      <w:r>
        <w:rPr>
          <w:rFonts w:ascii="Times New Roman" w:hAnsi="Times New Roman" w:cs="Times New Roman"/>
          <w:sz w:val="24"/>
          <w:szCs w:val="24"/>
        </w:rPr>
        <w:t>4</w:t>
      </w:r>
      <w:r w:rsidRPr="00762F24">
        <w:rPr>
          <w:rFonts w:ascii="Times New Roman" w:hAnsi="Times New Roman" w:cs="Times New Roman"/>
          <w:sz w:val="24"/>
          <w:szCs w:val="24"/>
        </w:rPr>
        <w:t>).</w:t>
      </w:r>
    </w:p>
    <w:p w14:paraId="6F58A0FA" w14:textId="0A1FA486" w:rsidR="00762F24" w:rsidRDefault="00762F24" w:rsidP="00762F24">
      <w:pPr>
        <w:spacing w:line="360" w:lineRule="auto"/>
        <w:jc w:val="both"/>
        <w:rPr>
          <w:rFonts w:ascii="Times New Roman" w:eastAsiaTheme="minorEastAsia" w:hAnsi="Times New Roman" w:cs="Times New Roman"/>
          <w:sz w:val="24"/>
          <w:szCs w:val="24"/>
        </w:rPr>
      </w:pPr>
      <m:oMath>
        <m:r>
          <w:rPr>
            <w:rFonts w:ascii="Cambria Math" w:hAnsi="Cambria Math" w:cs="Times New Roman"/>
            <w:sz w:val="24"/>
            <w:szCs w:val="24"/>
          </w:rPr>
          <m:t>GQI=</m:t>
        </m:r>
        <m:nary>
          <m:naryPr>
            <m:chr m:val="∑"/>
            <m:limLoc m:val="undOvr"/>
            <m:subHide m:val="1"/>
            <m:supHide m:val="1"/>
            <m:ctrlPr>
              <w:rPr>
                <w:rFonts w:ascii="Cambria Math" w:hAnsi="Cambria Math" w:cs="Times New Roman"/>
                <w:i/>
                <w:sz w:val="24"/>
                <w:szCs w:val="24"/>
              </w:rPr>
            </m:ctrlPr>
          </m:naryPr>
          <m:sub/>
          <m:sup/>
          <m:e>
            <m:r>
              <w:rPr>
                <w:rFonts w:ascii="Cambria Math" w:hAnsi="Cambria Math" w:cs="Times New Roman"/>
                <w:sz w:val="24"/>
                <w:szCs w:val="24"/>
              </w:rPr>
              <m:t>Sli</m:t>
            </m:r>
          </m:e>
        </m:nary>
      </m:oMath>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t>(4)</w:t>
      </w:r>
    </w:p>
    <w:p w14:paraId="496B4701" w14:textId="359B8D26" w:rsidR="006E03C3" w:rsidRPr="006E03C3" w:rsidRDefault="006E03C3" w:rsidP="00762F24">
      <w:pPr>
        <w:spacing w:line="360" w:lineRule="auto"/>
        <w:jc w:val="both"/>
        <w:rPr>
          <w:rFonts w:ascii="Times New Roman" w:hAnsi="Times New Roman" w:cs="Times New Roman"/>
          <w:sz w:val="24"/>
          <w:szCs w:val="24"/>
        </w:rPr>
      </w:pPr>
      <w:r w:rsidRPr="006268B6">
        <w:rPr>
          <w:rFonts w:ascii="Times New Roman" w:hAnsi="Times New Roman" w:cs="Times New Roman"/>
          <w:sz w:val="24"/>
          <w:szCs w:val="24"/>
        </w:rPr>
        <w:lastRenderedPageBreak/>
        <w:t>The classification of water quality, based on its water quality index (WQI) after Brown et al. (</w:t>
      </w:r>
      <w:hyperlink r:id="rId5" w:anchor="ref-CR15" w:tooltip="Brown RM, Mccleiland NJ, Deiniger RA, O’Connor MF (1972) Water quality index-crossing the physical barrier. Res Jerusalem 6:787–797" w:history="1">
        <w:r w:rsidRPr="006268B6">
          <w:rPr>
            <w:rFonts w:ascii="Times New Roman" w:hAnsi="Times New Roman" w:cs="Times New Roman"/>
            <w:sz w:val="24"/>
            <w:szCs w:val="24"/>
          </w:rPr>
          <w:t>1972</w:t>
        </w:r>
      </w:hyperlink>
      <w:r w:rsidRPr="006268B6">
        <w:rPr>
          <w:rFonts w:ascii="Times New Roman" w:hAnsi="Times New Roman" w:cs="Times New Roman"/>
          <w:sz w:val="24"/>
          <w:szCs w:val="24"/>
        </w:rPr>
        <w:t xml:space="preserve">); Chatterjee and </w:t>
      </w:r>
      <w:proofErr w:type="spellStart"/>
      <w:r w:rsidRPr="006268B6">
        <w:rPr>
          <w:rFonts w:ascii="Times New Roman" w:hAnsi="Times New Roman" w:cs="Times New Roman"/>
          <w:sz w:val="24"/>
          <w:szCs w:val="24"/>
        </w:rPr>
        <w:t>Raziuddin</w:t>
      </w:r>
      <w:proofErr w:type="spellEnd"/>
      <w:r w:rsidRPr="006268B6">
        <w:rPr>
          <w:rFonts w:ascii="Times New Roman" w:hAnsi="Times New Roman" w:cs="Times New Roman"/>
          <w:sz w:val="24"/>
          <w:szCs w:val="24"/>
        </w:rPr>
        <w:t xml:space="preserve"> (</w:t>
      </w:r>
      <w:hyperlink r:id="rId6" w:anchor="ref-CR19" w:tooltip="Chatterjee C, Raziuddin M (2002) Determination of Water Quality Index (WQI) of a degraded river in Asansol industrial area (West Bengal). Nat Environ Pollut Technol 1:181–189" w:history="1">
        <w:r w:rsidRPr="006268B6">
          <w:rPr>
            <w:rFonts w:ascii="Times New Roman" w:hAnsi="Times New Roman" w:cs="Times New Roman"/>
            <w:sz w:val="24"/>
            <w:szCs w:val="24"/>
          </w:rPr>
          <w:t>2002</w:t>
        </w:r>
      </w:hyperlink>
      <w:r w:rsidRPr="006268B6">
        <w:rPr>
          <w:rFonts w:ascii="Times New Roman" w:hAnsi="Times New Roman" w:cs="Times New Roman"/>
          <w:sz w:val="24"/>
          <w:szCs w:val="24"/>
        </w:rPr>
        <w:t xml:space="preserve">) and Shankar and </w:t>
      </w:r>
      <w:proofErr w:type="spellStart"/>
      <w:r w:rsidRPr="006268B6">
        <w:rPr>
          <w:rFonts w:ascii="Times New Roman" w:hAnsi="Times New Roman" w:cs="Times New Roman"/>
          <w:sz w:val="24"/>
          <w:szCs w:val="24"/>
        </w:rPr>
        <w:t>Kawo</w:t>
      </w:r>
      <w:proofErr w:type="spellEnd"/>
      <w:r w:rsidRPr="006268B6">
        <w:rPr>
          <w:rFonts w:ascii="Times New Roman" w:hAnsi="Times New Roman" w:cs="Times New Roman"/>
          <w:sz w:val="24"/>
          <w:szCs w:val="24"/>
        </w:rPr>
        <w:t xml:space="preserve"> (</w:t>
      </w:r>
      <w:hyperlink r:id="rId7" w:anchor="ref-CR76" w:tooltip="Shankar K, Kawo NS (2019) Groundwater quality assessment using geospatial techniques and WQI in North East of Adama Town, Oromia Region. Ethiopia Hydrospatial Anal 3(1):22–36" w:history="1">
        <w:r w:rsidRPr="006268B6">
          <w:rPr>
            <w:rFonts w:ascii="Times New Roman" w:hAnsi="Times New Roman" w:cs="Times New Roman"/>
            <w:sz w:val="24"/>
            <w:szCs w:val="24"/>
          </w:rPr>
          <w:t>2019</w:t>
        </w:r>
      </w:hyperlink>
      <w:r w:rsidRPr="006268B6">
        <w:rPr>
          <w:rFonts w:ascii="Times New Roman" w:hAnsi="Times New Roman" w:cs="Times New Roman"/>
          <w:sz w:val="24"/>
          <w:szCs w:val="24"/>
        </w:rPr>
        <w:t>) have been considered here in this study for further reference which is mentioned in Table </w:t>
      </w:r>
      <w:hyperlink r:id="rId8" w:anchor="Tab3" w:history="1">
        <w:r w:rsidRPr="00F82F2A">
          <w:rPr>
            <w:rFonts w:ascii="Times New Roman" w:hAnsi="Times New Roman" w:cs="Times New Roman"/>
            <w:sz w:val="24"/>
            <w:szCs w:val="24"/>
          </w:rPr>
          <w:t>xx</w:t>
        </w:r>
      </w:hyperlink>
      <w:r w:rsidRPr="006268B6">
        <w:rPr>
          <w:rFonts w:ascii="Times New Roman" w:hAnsi="Times New Roman" w:cs="Times New Roman"/>
          <w:sz w:val="24"/>
          <w:szCs w:val="24"/>
        </w:rPr>
        <w:t>.</w:t>
      </w:r>
    </w:p>
    <w:p w14:paraId="69B28FFC" w14:textId="024AAE10" w:rsidR="006E03C3" w:rsidRDefault="006E03C3" w:rsidP="00762F24">
      <w:pPr>
        <w:spacing w:line="360" w:lineRule="auto"/>
        <w:jc w:val="both"/>
        <w:rPr>
          <w:rFonts w:ascii="Times New Roman" w:eastAsiaTheme="minorEastAsia" w:hAnsi="Times New Roman" w:cs="Times New Roman"/>
          <w:sz w:val="24"/>
          <w:szCs w:val="24"/>
        </w:rPr>
      </w:pPr>
      <w:r w:rsidRPr="00F82F2A">
        <w:rPr>
          <w:noProof/>
        </w:rPr>
        <w:drawing>
          <wp:inline distT="0" distB="0" distL="0" distR="0" wp14:anchorId="0604446D" wp14:editId="6CC1CE4F">
            <wp:extent cx="5086350" cy="1343025"/>
            <wp:effectExtent l="0" t="0" r="0" b="9525"/>
            <wp:docPr id="188467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6350" cy="1343025"/>
                    </a:xfrm>
                    <a:prstGeom prst="rect">
                      <a:avLst/>
                    </a:prstGeom>
                    <a:noFill/>
                    <a:ln>
                      <a:noFill/>
                    </a:ln>
                  </pic:spPr>
                </pic:pic>
              </a:graphicData>
            </a:graphic>
          </wp:inline>
        </w:drawing>
      </w:r>
    </w:p>
    <w:p w14:paraId="1E444421" w14:textId="75585AA1" w:rsidR="00762F24" w:rsidRDefault="000118EE"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Case study 1:</w:t>
      </w:r>
      <w:r w:rsidRPr="000118EE">
        <w:rPr>
          <w:rFonts w:ascii="Times New Roman" w:hAnsi="Times New Roman" w:cs="Times New Roman"/>
          <w:b/>
          <w:bCs/>
          <w:sz w:val="24"/>
          <w:szCs w:val="24"/>
        </w:rPr>
        <w:t xml:space="preserve">Upper Berg </w:t>
      </w:r>
    </w:p>
    <w:p w14:paraId="55A70478" w14:textId="56778D33" w:rsidR="00FB6932" w:rsidRPr="0035605C" w:rsidRDefault="0035605C"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the 2011 GRDM training manual, groundwater quality classification was mainly based on EC parameter. This has a limitation as not only EC is responsible for the apparent water quality of a particular system, but also other parameters influence the groundwater quality. A holistic approach is proposed to use a Groundwater Quality Index (GQI). This approach combines multiple parameters to get the overall water quality. The results are then interpreted using table 1. The approach allows the user to select the parameters for their specific site and give weight to the different parameters. In the current manual this approach was tested in two separate catchments i.e., G10A and G50. In </w:t>
      </w:r>
      <w:r w:rsidR="00A46D1A">
        <w:rPr>
          <w:rFonts w:ascii="Times New Roman" w:hAnsi="Times New Roman" w:cs="Times New Roman"/>
          <w:sz w:val="24"/>
          <w:szCs w:val="24"/>
        </w:rPr>
        <w:t>previous</w:t>
      </w:r>
      <w:r>
        <w:rPr>
          <w:rFonts w:ascii="Times New Roman" w:hAnsi="Times New Roman" w:cs="Times New Roman"/>
          <w:sz w:val="24"/>
          <w:szCs w:val="24"/>
        </w:rPr>
        <w:t xml:space="preserve"> </w:t>
      </w:r>
      <w:r w:rsidR="00A46D1A">
        <w:rPr>
          <w:rFonts w:ascii="Times New Roman" w:hAnsi="Times New Roman" w:cs="Times New Roman"/>
          <w:sz w:val="24"/>
          <w:szCs w:val="24"/>
        </w:rPr>
        <w:t xml:space="preserve">studies </w:t>
      </w:r>
      <w:r w:rsidR="00491FCC">
        <w:rPr>
          <w:rFonts w:ascii="Times New Roman" w:hAnsi="Times New Roman" w:cs="Times New Roman"/>
          <w:sz w:val="24"/>
          <w:szCs w:val="24"/>
        </w:rPr>
        <w:fldChar w:fldCharType="begin" w:fldLock="1"/>
      </w:r>
      <w:r w:rsidR="00491FCC">
        <w:rPr>
          <w:rFonts w:ascii="Times New Roman" w:hAnsi="Times New Roman" w:cs="Times New Roman"/>
          <w:sz w:val="24"/>
          <w:szCs w:val="24"/>
        </w:rPr>
        <w:instrText>ADDIN CSL_CITATION {"citationItems":[{"id":"ITEM-1","itemData":{"DOI":"10.1080/23311916.2016.1237927","ISSN":"23311916","abstract":"The objectives of this study are to analyze the underground water quality of Greater Noida region by water quality index. Nine physico-chemical parameters such as Calcium, Magnesium, Chloride, Sulphate, Total Hardness, Fluoride, Nitrate, Total Dissolved Solids, Alkalinity collected from 10 different locations since a period of 2015. In this study 90% water samples were found good quality and only 10% water samples falls under moderately poor category. The water quality index ranges from 16.49 to 64.65. Therefore there is a need of some treatment before usage and also required to protect that area from contamination.","author":[{"dropping-particle":"","family":"Saleem","given":"Mohd","non-dropping-particle":"","parse-names":false,"suffix":""},{"dropping-particle":"","family":"Hussain","given":"Athar","non-dropping-particle":"","parse-names":false,"suffix":""},{"dropping-particle":"","family":"Mahmood","given":"Gauhar","non-dropping-particle":"","parse-names":false,"suffix":""}],"container-title":"Cogent Engineering","id":"ITEM-1","issue":"1","issued":{"date-parts":[["2016"]]},"publisher":"Cogent","title":"Analysis of groundwater quality using water quality index: A case study of greater Noida (Region), Uttar Pradesh (U.P), India","type":"article-journal","volume":"3"},"uris":["http://www.mendeley.com/documents/?uuid=6e1a0481-ad95-4dbc-ba27-10c326caa1a2"]}],"mendeley":{"formattedCitation":"(Saleem et al., 2016)","manualFormatting":"(Saleem et al., 2016;","plainTextFormattedCitation":"(Saleem et al., 2016)","previouslyFormattedCitation":"(Saleem et al., 2016)"},"properties":{"noteIndex":0},"schema":"https://github.com/citation-style-language/schema/raw/master/csl-citation.json"}</w:instrText>
      </w:r>
      <w:r w:rsidR="00491FCC">
        <w:rPr>
          <w:rFonts w:ascii="Times New Roman" w:hAnsi="Times New Roman" w:cs="Times New Roman"/>
          <w:sz w:val="24"/>
          <w:szCs w:val="24"/>
        </w:rPr>
        <w:fldChar w:fldCharType="separate"/>
      </w:r>
      <w:r w:rsidR="00491FCC" w:rsidRPr="00491FCC">
        <w:rPr>
          <w:rFonts w:ascii="Times New Roman" w:hAnsi="Times New Roman" w:cs="Times New Roman"/>
          <w:noProof/>
          <w:sz w:val="24"/>
          <w:szCs w:val="24"/>
        </w:rPr>
        <w:t>(Saleem et al., 2016</w:t>
      </w:r>
      <w:r w:rsidR="00491FCC">
        <w:rPr>
          <w:rFonts w:ascii="Times New Roman" w:hAnsi="Times New Roman" w:cs="Times New Roman"/>
          <w:noProof/>
          <w:sz w:val="24"/>
          <w:szCs w:val="24"/>
        </w:rPr>
        <w:t>;</w:t>
      </w:r>
      <w:r w:rsidR="00491FCC">
        <w:rPr>
          <w:rFonts w:ascii="Times New Roman" w:hAnsi="Times New Roman" w:cs="Times New Roman"/>
          <w:sz w:val="24"/>
          <w:szCs w:val="24"/>
        </w:rPr>
        <w:fldChar w:fldCharType="end"/>
      </w:r>
      <w:r w:rsidR="00491FCC">
        <w:rPr>
          <w:rFonts w:ascii="Times New Roman" w:hAnsi="Times New Roman" w:cs="Times New Roman"/>
          <w:sz w:val="24"/>
          <w:szCs w:val="24"/>
        </w:rPr>
        <w:fldChar w:fldCharType="begin" w:fldLock="1"/>
      </w:r>
      <w:r w:rsidR="00491FCC">
        <w:rPr>
          <w:rFonts w:ascii="Times New Roman" w:hAnsi="Times New Roman" w:cs="Times New Roman"/>
          <w:sz w:val="24"/>
          <w:szCs w:val="24"/>
        </w:rPr>
        <w:instrText>ADDIN CSL_CITATION {"citationItems":[{"id":"ITEM-1","itemData":{"DOI":"10.1007/s13201-021-01376-7","ISBN":"0123456789","ISSN":"21905495","abstract":"Groundwater is an important source for drinking water supply in hard rock terrain of Bundelkhand massif particularly in District Mahoba, Uttar Pradesh, India. An attempt has been made in this work to understand the suitability of groundwater for human consumption. The parameters like pH, electrical conductivity, total dissolved solids, alkalinity, total hardness, calcium, magnesium, sodium, potassium, bicarbonate, sulfate, chloride, fluoride, nitrate, copper, manganese, silver, zinc, iron and nickel were analysed to estimate the groundwater quality. The water quality index (WQI) has been applied to categorize the water quality viz: excellent, good, poor, etc. which is quite useful to infer the quality of water to the people and policy makers in the concerned area. The WQI in the study area ranges from 4.75 to 115.93. The overall WQI in the study area indicates that the groundwater is safe and potable except few localized pockets in Charkhari and Jaitpur Blocks. The Hill-Piper Trilinear diagram reveals that the groundwater of the study area falls under Na+-Cl−, mixed Ca2+-Mg2+-Cl− and Ca2+-HCO3- types. The granite-gneiss contains orthoclase feldspar and biotite minerals which after weathering yields bicarbonate and chloride rich groundwater. The correlation matrix has been created and analysed to observe their significant impetus on the assessment of groundwater quality. The current study suggests that the groundwater of the area under deteriorated water quality needs treatment before consumption and also to be protected from the perils of geogenic/anthropogenic contamination.","author":[{"dropping-particle":"","family":"Ram","given":"Arjun","non-dropping-particle":"","parse-names":false,"suffix":""},{"dropping-particle":"","family":"Tiwari","given":"S. K.","non-dropping-particle":"","parse-names":false,"suffix":""},{"dropping-particle":"","family":"Pandey","given":"H. K.","non-dropping-particle":"","parse-names":false,"suffix":""},{"dropping-particle":"","family":"Chaurasia","given":"Abhishek Kumar","non-dropping-particle":"","parse-names":false,"suffix":""},{"dropping-particle":"","family":"Singh","given":"Supriya","non-dropping-particle":"","parse-names":false,"suffix":""},{"dropping-particle":"V.","family":"Singh","given":"Y.","non-dropping-particle":"","parse-names":false,"suffix":""}],"container-title":"Applied Water Science","id":"ITEM-1","issue":"2","issued":{"date-parts":[["2021"]]},"page":"1-20","publisher":"Springer International Publishing","title":"Groundwater quality assessment using water quality index (WQI) under GIS framework","type":"article-journal","volume":"11"},"uris":["http://www.mendeley.com/documents/?uuid=8e1fe69f-9349-4934-9409-4f9450ab77d0"]}],"mendeley":{"formattedCitation":"(Ram et al., 2021)","manualFormatting":"Ram et al., 2021;","plainTextFormattedCitation":"(Ram et al., 2021)","previouslyFormattedCitation":"(Ram et al., 2021)"},"properties":{"noteIndex":0},"schema":"https://github.com/citation-style-language/schema/raw/master/csl-citation.json"}</w:instrText>
      </w:r>
      <w:r w:rsidR="00491FCC">
        <w:rPr>
          <w:rFonts w:ascii="Times New Roman" w:hAnsi="Times New Roman" w:cs="Times New Roman"/>
          <w:sz w:val="24"/>
          <w:szCs w:val="24"/>
        </w:rPr>
        <w:fldChar w:fldCharType="separate"/>
      </w:r>
      <w:r w:rsidR="00491FCC" w:rsidRPr="00491FCC">
        <w:rPr>
          <w:rFonts w:ascii="Times New Roman" w:hAnsi="Times New Roman" w:cs="Times New Roman"/>
          <w:noProof/>
          <w:sz w:val="24"/>
          <w:szCs w:val="24"/>
        </w:rPr>
        <w:t>Ram et al., 2021</w:t>
      </w:r>
      <w:r w:rsidR="00491FCC">
        <w:rPr>
          <w:rFonts w:ascii="Times New Roman" w:hAnsi="Times New Roman" w:cs="Times New Roman"/>
          <w:noProof/>
          <w:sz w:val="24"/>
          <w:szCs w:val="24"/>
        </w:rPr>
        <w:t>;</w:t>
      </w:r>
      <w:r w:rsidR="00491FCC">
        <w:rPr>
          <w:rFonts w:ascii="Times New Roman" w:hAnsi="Times New Roman" w:cs="Times New Roman"/>
          <w:sz w:val="24"/>
          <w:szCs w:val="24"/>
        </w:rPr>
        <w:fldChar w:fldCharType="end"/>
      </w:r>
      <w:r w:rsidR="00491FCC">
        <w:rPr>
          <w:rFonts w:ascii="Times New Roman" w:hAnsi="Times New Roman" w:cs="Times New Roman"/>
          <w:sz w:val="24"/>
          <w:szCs w:val="24"/>
        </w:rPr>
        <w:t xml:space="preserve"> </w:t>
      </w:r>
      <w:r w:rsidR="00491FCC">
        <w:rPr>
          <w:rFonts w:ascii="Times New Roman" w:hAnsi="Times New Roman" w:cs="Times New Roman"/>
          <w:sz w:val="24"/>
          <w:szCs w:val="24"/>
        </w:rPr>
        <w:fldChar w:fldCharType="begin" w:fldLock="1"/>
      </w:r>
      <w:r w:rsidR="00491FCC">
        <w:rPr>
          <w:rFonts w:ascii="Times New Roman" w:hAnsi="Times New Roman" w:cs="Times New Roman"/>
          <w:sz w:val="24"/>
          <w:szCs w:val="24"/>
        </w:rPr>
        <w:instrText>ADDIN CSL_CITATION {"citationItems":[{"id":"ITEM-1","itemData":{"DOI":"10.1007/s40899-021-00503-1","ISBN":"0123456789","ISSN":"23635045","abstract":"Water quality assessment for water resource protection and management is key towards sustainable provision of potable water supply and in meeting sustainable development goals (SDGs) linked to clean water and sanitation. The spatial and temporal aspects of groundwater quality in the Nseleni catchment, South Africa (SA) was investigated, its suitability for domestic use was considered, and required protection measures were established. Using a hybrid approach methodology based on multiple water quality resource assessment techniques such as groundwater quality index (GQI) and concentration duration curves (CDCs), 72 groundwater samples collected from 1994 to 2017 were analysed for physico-chemical (Na+, Ca2+, Mg2+, Cl−, SO42−, NO3−, F−, EC, pH) parameters. Approximately, 33.3% of groundwater samples in the Nseleni catchment were found suitable for drinking when compared to South African water quality guidelines. The use of a hybrid approach method showed that overall groundwater quality in the study catchment was classified as excellent for domestic water use when the groundwater quality index was calculated to be 39.11. Groundwater quality reserve limits for groundwater resources protection were determined for the nine water quality parameters using CDCs. The study concluded that using groundwater quality index and concentration duration curves, it was feasible to classify groundwater resources for improved groundwater quality of reserve determination in the South African context. The study recommends the application of the hybrid method in various catchments of similar characteristics to the studied catchment for setting groundwater quality limits that would contribute towards achieving the goal of groundwater resources protection in other catchments.","author":[{"dropping-particle":"","family":"Nzama","given":"S. M.","non-dropping-particle":"","parse-names":false,"suffix":""},{"dropping-particle":"","family":"Kanyerere","given":"T. O.B.","non-dropping-particle":"","parse-names":false,"suffix":""},{"dropping-particle":"","family":"Mapoma","given":"H. W.T.","non-dropping-particle":"","parse-names":false,"suffix":""}],"container-title":"Sustainable Water Resources Management","id":"ITEM-1","issue":"3","issued":{"date-parts":[["2021"]]},"page":"1-11","publisher":"Springer International Publishing","title":"Using groundwater quality index and concentration duration curves for classification and protection of groundwater resources: relevance of groundwater quality of reserve determination, South Africa","type":"article-journal","volume":"7"},"uris":["http://www.mendeley.com/documents/?uuid=e87f2654-9740-401a-b6f5-96c94e8ecd45"]}],"mendeley":{"formattedCitation":"(Nzama et al., 2021)","manualFormatting":"Nzama et al., 2021)","plainTextFormattedCitation":"(Nzama et al., 2021)","previouslyFormattedCitation":"(Nzama et al., 2021)"},"properties":{"noteIndex":0},"schema":"https://github.com/citation-style-language/schema/raw/master/csl-citation.json"}</w:instrText>
      </w:r>
      <w:r w:rsidR="00491FCC">
        <w:rPr>
          <w:rFonts w:ascii="Times New Roman" w:hAnsi="Times New Roman" w:cs="Times New Roman"/>
          <w:sz w:val="24"/>
          <w:szCs w:val="24"/>
        </w:rPr>
        <w:fldChar w:fldCharType="separate"/>
      </w:r>
      <w:r w:rsidR="00491FCC" w:rsidRPr="00491FCC">
        <w:rPr>
          <w:rFonts w:ascii="Times New Roman" w:hAnsi="Times New Roman" w:cs="Times New Roman"/>
          <w:noProof/>
          <w:sz w:val="24"/>
          <w:szCs w:val="24"/>
        </w:rPr>
        <w:t>Nzama et al., 2021)</w:t>
      </w:r>
      <w:r w:rsidR="00491FCC">
        <w:rPr>
          <w:rFonts w:ascii="Times New Roman" w:hAnsi="Times New Roman" w:cs="Times New Roman"/>
          <w:sz w:val="24"/>
          <w:szCs w:val="24"/>
        </w:rPr>
        <w:fldChar w:fldCharType="end"/>
      </w:r>
      <w:r w:rsidR="00A46D1A">
        <w:rPr>
          <w:rFonts w:ascii="Times New Roman" w:hAnsi="Times New Roman" w:cs="Times New Roman"/>
          <w:sz w:val="24"/>
          <w:szCs w:val="24"/>
        </w:rPr>
        <w:t>,</w:t>
      </w:r>
      <w:r>
        <w:rPr>
          <w:rFonts w:ascii="Times New Roman" w:hAnsi="Times New Roman" w:cs="Times New Roman"/>
          <w:sz w:val="24"/>
          <w:szCs w:val="24"/>
        </w:rPr>
        <w:t xml:space="preserve"> the limit </w:t>
      </w:r>
      <w:r w:rsidR="00A46D1A">
        <w:rPr>
          <w:rFonts w:ascii="Times New Roman" w:hAnsi="Times New Roman" w:cs="Times New Roman"/>
          <w:sz w:val="24"/>
          <w:szCs w:val="24"/>
        </w:rPr>
        <w:t>when using this approach is set using the water quality standards, however, since the water is coming from the aquifer then environment should set the limit. In this manual the maximum from long term monitoring data is used to the limit.</w:t>
      </w:r>
      <w:r>
        <w:rPr>
          <w:rFonts w:ascii="Times New Roman" w:hAnsi="Times New Roman" w:cs="Times New Roman"/>
          <w:sz w:val="24"/>
          <w:szCs w:val="24"/>
        </w:rPr>
        <w:t xml:space="preserve"> </w:t>
      </w:r>
      <w:r w:rsidR="00A46D1A">
        <w:rPr>
          <w:rFonts w:ascii="Times New Roman" w:hAnsi="Times New Roman" w:cs="Times New Roman"/>
          <w:sz w:val="24"/>
          <w:szCs w:val="24"/>
        </w:rPr>
        <w:t xml:space="preserve">In figure X below, the quality of water is between 0 and 25 for much of the catchment. The upper Berg is a </w:t>
      </w:r>
      <w:r w:rsidR="00B940A8">
        <w:rPr>
          <w:rFonts w:ascii="Times New Roman" w:hAnsi="Times New Roman" w:cs="Times New Roman"/>
          <w:sz w:val="24"/>
          <w:szCs w:val="24"/>
        </w:rPr>
        <w:t>pristine</w:t>
      </w:r>
      <w:r w:rsidR="00A46D1A">
        <w:rPr>
          <w:rFonts w:ascii="Times New Roman" w:hAnsi="Times New Roman" w:cs="Times New Roman"/>
          <w:sz w:val="24"/>
          <w:szCs w:val="24"/>
        </w:rPr>
        <w:t xml:space="preserve"> environment. It was expected that a large portion of the catchment would fall in this category. The other part is between 26 – 50, this </w:t>
      </w:r>
      <w:r w:rsidR="00B940A8">
        <w:rPr>
          <w:rFonts w:ascii="Times New Roman" w:hAnsi="Times New Roman" w:cs="Times New Roman"/>
          <w:sz w:val="24"/>
          <w:szCs w:val="24"/>
        </w:rPr>
        <w:t>suggests</w:t>
      </w:r>
      <w:r w:rsidR="00A46D1A">
        <w:rPr>
          <w:rFonts w:ascii="Times New Roman" w:hAnsi="Times New Roman" w:cs="Times New Roman"/>
          <w:sz w:val="24"/>
          <w:szCs w:val="24"/>
        </w:rPr>
        <w:t xml:space="preserve"> that the section is </w:t>
      </w:r>
      <w:r w:rsidR="00B940A8">
        <w:rPr>
          <w:rFonts w:ascii="Times New Roman" w:hAnsi="Times New Roman" w:cs="Times New Roman"/>
          <w:sz w:val="24"/>
          <w:szCs w:val="24"/>
        </w:rPr>
        <w:t>minimally</w:t>
      </w:r>
      <w:r w:rsidR="00A46D1A">
        <w:rPr>
          <w:rFonts w:ascii="Times New Roman" w:hAnsi="Times New Roman" w:cs="Times New Roman"/>
          <w:sz w:val="24"/>
          <w:szCs w:val="24"/>
        </w:rPr>
        <w:t xml:space="preserve"> impacted. This was expected as that section falls with the </w:t>
      </w:r>
      <w:r w:rsidR="00B940A8">
        <w:rPr>
          <w:rFonts w:ascii="Times New Roman" w:hAnsi="Times New Roman" w:cs="Times New Roman"/>
          <w:sz w:val="24"/>
          <w:szCs w:val="24"/>
        </w:rPr>
        <w:t>Franschhoek</w:t>
      </w:r>
      <w:r w:rsidR="00A46D1A">
        <w:rPr>
          <w:rFonts w:ascii="Times New Roman" w:hAnsi="Times New Roman" w:cs="Times New Roman"/>
          <w:sz w:val="24"/>
          <w:szCs w:val="24"/>
        </w:rPr>
        <w:t xml:space="preserve"> area</w:t>
      </w:r>
      <w:r w:rsidR="00B940A8">
        <w:rPr>
          <w:rFonts w:ascii="Times New Roman" w:hAnsi="Times New Roman" w:cs="Times New Roman"/>
          <w:sz w:val="24"/>
          <w:szCs w:val="24"/>
        </w:rPr>
        <w:t xml:space="preserve">, in the area farming takes place and there are settlements in that part. The section below the confluence also shows signs of being </w:t>
      </w:r>
      <w:r w:rsidR="00A1185F">
        <w:rPr>
          <w:rFonts w:ascii="Times New Roman" w:hAnsi="Times New Roman" w:cs="Times New Roman"/>
          <w:sz w:val="24"/>
          <w:szCs w:val="24"/>
        </w:rPr>
        <w:t>impacted;</w:t>
      </w:r>
      <w:r w:rsidR="00B940A8">
        <w:rPr>
          <w:rFonts w:ascii="Times New Roman" w:hAnsi="Times New Roman" w:cs="Times New Roman"/>
          <w:sz w:val="24"/>
          <w:szCs w:val="24"/>
        </w:rPr>
        <w:t xml:space="preserve"> across the road from the confluence a wastewater treatment plant can be found.</w:t>
      </w:r>
      <w:r w:rsidR="00A46D1A">
        <w:rPr>
          <w:rFonts w:ascii="Times New Roman" w:hAnsi="Times New Roman" w:cs="Times New Roman"/>
          <w:sz w:val="24"/>
          <w:szCs w:val="24"/>
        </w:rPr>
        <w:t xml:space="preserve">  </w:t>
      </w:r>
    </w:p>
    <w:p w14:paraId="64E9C9A0" w14:textId="2CA561F0"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5FAB03AF" wp14:editId="43FA9C2A">
            <wp:extent cx="6733953" cy="5050465"/>
            <wp:effectExtent l="0" t="0" r="0" b="0"/>
            <wp:docPr id="27937223" name="Picture 7" descr="A picture containing text, map, atlas,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37223" name="Picture 7" descr="A picture containing text, map, atlas, dia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743540" cy="5057655"/>
                    </a:xfrm>
                    <a:prstGeom prst="rect">
                      <a:avLst/>
                    </a:prstGeom>
                  </pic:spPr>
                </pic:pic>
              </a:graphicData>
            </a:graphic>
          </wp:inline>
        </w:drawing>
      </w:r>
    </w:p>
    <w:p w14:paraId="0B2EF53D" w14:textId="68F65AC7" w:rsidR="00A46D1A" w:rsidRDefault="00A46D1A"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Figure x:</w:t>
      </w:r>
    </w:p>
    <w:p w14:paraId="19A7C07F" w14:textId="1EBDA183" w:rsidR="00B940A8" w:rsidRPr="00B940A8" w:rsidRDefault="00B940A8"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It is understood that not all catchments have historical data, in case like that it is suggested that the water quality standards be used with caution until background data is available. Based on the analysis of groundwater quality using the drinking water guidelines, figure xx below shows that the catchment has shifted from the range of 0 to 25 and now includes </w:t>
      </w:r>
      <w:r w:rsidR="00A61324">
        <w:rPr>
          <w:rFonts w:ascii="Times New Roman" w:hAnsi="Times New Roman" w:cs="Times New Roman"/>
          <w:sz w:val="24"/>
          <w:szCs w:val="24"/>
        </w:rPr>
        <w:t>values</w:t>
      </w:r>
      <w:r>
        <w:rPr>
          <w:rFonts w:ascii="Times New Roman" w:hAnsi="Times New Roman" w:cs="Times New Roman"/>
          <w:sz w:val="24"/>
          <w:szCs w:val="24"/>
        </w:rPr>
        <w:t xml:space="preserve"> greater than 100. </w:t>
      </w:r>
      <w:r w:rsidR="00A61324">
        <w:rPr>
          <w:rFonts w:ascii="Times New Roman" w:hAnsi="Times New Roman" w:cs="Times New Roman"/>
          <w:sz w:val="24"/>
          <w:szCs w:val="24"/>
        </w:rPr>
        <w:t xml:space="preserve">This means that the water is not good for drinking but good for environment, this is why guidelines in such cases should be applied with caution. One needs to understand the use of the water when monitoring, the guidelines tend to more stringent on the environment. </w:t>
      </w:r>
    </w:p>
    <w:p w14:paraId="47E6CF87" w14:textId="2AB81778" w:rsidR="00FB6932" w:rsidRDefault="00FB6932" w:rsidP="00762F24">
      <w:pPr>
        <w:spacing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3691C80" wp14:editId="0F6B3D51">
            <wp:extent cx="6719777" cy="5039833"/>
            <wp:effectExtent l="0" t="0" r="5080" b="8890"/>
            <wp:docPr id="11030848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084806" name="Picture 110308480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755163" cy="5066372"/>
                    </a:xfrm>
                    <a:prstGeom prst="rect">
                      <a:avLst/>
                    </a:prstGeom>
                  </pic:spPr>
                </pic:pic>
              </a:graphicData>
            </a:graphic>
          </wp:inline>
        </w:drawing>
      </w:r>
    </w:p>
    <w:p w14:paraId="743AE85F" w14:textId="41322BA9" w:rsidR="00FB6932" w:rsidRDefault="00FB6932"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Figure:</w:t>
      </w:r>
    </w:p>
    <w:p w14:paraId="6F46C82D" w14:textId="31258102" w:rsidR="00FB6932" w:rsidRPr="00FB6932" w:rsidRDefault="00FB6932" w:rsidP="00762F24">
      <w:pPr>
        <w:spacing w:line="360" w:lineRule="auto"/>
        <w:jc w:val="both"/>
        <w:rPr>
          <w:rFonts w:ascii="Times New Roman" w:hAnsi="Times New Roman" w:cs="Times New Roman"/>
          <w:sz w:val="24"/>
          <w:szCs w:val="24"/>
        </w:rPr>
      </w:pPr>
    </w:p>
    <w:p w14:paraId="7C996907" w14:textId="2C2A8A76" w:rsidR="000118EE" w:rsidRDefault="000118EE"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Case study 2: Heuningnes catchment</w:t>
      </w:r>
    </w:p>
    <w:p w14:paraId="06548F05" w14:textId="16C6CAEE" w:rsidR="00A61324" w:rsidRPr="00A61324" w:rsidRDefault="00A61324"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procedure for </w:t>
      </w:r>
      <w:r w:rsidR="00AB3439">
        <w:rPr>
          <w:rFonts w:ascii="Times New Roman" w:hAnsi="Times New Roman" w:cs="Times New Roman"/>
          <w:sz w:val="24"/>
          <w:szCs w:val="24"/>
        </w:rPr>
        <w:t xml:space="preserve">determining </w:t>
      </w:r>
      <w:r>
        <w:rPr>
          <w:rFonts w:ascii="Times New Roman" w:hAnsi="Times New Roman" w:cs="Times New Roman"/>
          <w:sz w:val="24"/>
          <w:szCs w:val="24"/>
        </w:rPr>
        <w:t xml:space="preserve">GQI </w:t>
      </w:r>
      <w:r w:rsidR="00AB3439">
        <w:rPr>
          <w:rFonts w:ascii="Times New Roman" w:hAnsi="Times New Roman" w:cs="Times New Roman"/>
          <w:sz w:val="24"/>
          <w:szCs w:val="24"/>
        </w:rPr>
        <w:t>has</w:t>
      </w:r>
      <w:r>
        <w:rPr>
          <w:rFonts w:ascii="Times New Roman" w:hAnsi="Times New Roman" w:cs="Times New Roman"/>
          <w:sz w:val="24"/>
          <w:szCs w:val="24"/>
        </w:rPr>
        <w:t xml:space="preserve"> been stated in the above sections and the importance of using such an approach over the use of EC alone has been stated in the case of upper Berg. The one element that was not demonstrated in the above case study is the application of the GQI on different aquifer system. The reason for this was the lack of lithological logs for the unconfined aquifer system in the upper Berg. In the delineation step, aquifer systems need to be delineated and as such groundwater quality index needs to be determined for the delineated aquifer systems. </w:t>
      </w:r>
      <w:r w:rsidR="00A1185F">
        <w:rPr>
          <w:rFonts w:ascii="Times New Roman" w:hAnsi="Times New Roman" w:cs="Times New Roman"/>
          <w:sz w:val="24"/>
          <w:szCs w:val="24"/>
        </w:rPr>
        <w:t xml:space="preserve">In figure X below, the quality of water is between 0 and 25 for much of the catchment. The </w:t>
      </w:r>
      <w:r w:rsidR="00A1185F">
        <w:rPr>
          <w:rFonts w:ascii="Times New Roman" w:hAnsi="Times New Roman" w:cs="Times New Roman"/>
          <w:sz w:val="24"/>
          <w:szCs w:val="24"/>
        </w:rPr>
        <w:lastRenderedPageBreak/>
        <w:t>Heuningnes catchment</w:t>
      </w:r>
      <w:r w:rsidR="00A1185F">
        <w:rPr>
          <w:rFonts w:ascii="Times New Roman" w:hAnsi="Times New Roman" w:cs="Times New Roman"/>
          <w:sz w:val="24"/>
          <w:szCs w:val="24"/>
        </w:rPr>
        <w:t xml:space="preserve"> </w:t>
      </w:r>
      <w:r w:rsidR="00A1185F">
        <w:rPr>
          <w:rFonts w:ascii="Times New Roman" w:hAnsi="Times New Roman" w:cs="Times New Roman"/>
          <w:sz w:val="24"/>
          <w:szCs w:val="24"/>
        </w:rPr>
        <w:t>is a rural</w:t>
      </w:r>
      <w:r w:rsidR="00A1185F">
        <w:rPr>
          <w:rFonts w:ascii="Times New Roman" w:hAnsi="Times New Roman" w:cs="Times New Roman"/>
          <w:sz w:val="24"/>
          <w:szCs w:val="24"/>
        </w:rPr>
        <w:t xml:space="preserve"> environment</w:t>
      </w:r>
      <w:r w:rsidR="00A1185F">
        <w:rPr>
          <w:rFonts w:ascii="Times New Roman" w:hAnsi="Times New Roman" w:cs="Times New Roman"/>
          <w:sz w:val="24"/>
          <w:szCs w:val="24"/>
        </w:rPr>
        <w:t xml:space="preserve"> and there are not many activities taking place in that area</w:t>
      </w:r>
      <w:r w:rsidR="00A1185F">
        <w:rPr>
          <w:rFonts w:ascii="Times New Roman" w:hAnsi="Times New Roman" w:cs="Times New Roman"/>
          <w:sz w:val="24"/>
          <w:szCs w:val="24"/>
        </w:rPr>
        <w:t>. It was expected that a large portion of the catchment would fall in this category. The other part is between 26 – 50, this suggests that the section is minimally impacted.</w:t>
      </w:r>
      <w:r w:rsidR="00A1185F">
        <w:rPr>
          <w:rFonts w:ascii="Times New Roman" w:hAnsi="Times New Roman" w:cs="Times New Roman"/>
          <w:sz w:val="24"/>
          <w:szCs w:val="24"/>
        </w:rPr>
        <w:t xml:space="preserve"> The section that is minimally impacted forms part of the area that has the highest salinity levels in the unconfined aquifer system.</w:t>
      </w:r>
    </w:p>
    <w:p w14:paraId="708DAC0C" w14:textId="7060D2AD"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Unconfined aquifer system</w:t>
      </w:r>
    </w:p>
    <w:p w14:paraId="7D9D9552" w14:textId="56440BFC"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B8C98B8" wp14:editId="5277B452">
            <wp:extent cx="6772940" cy="5079705"/>
            <wp:effectExtent l="0" t="0" r="8890" b="6985"/>
            <wp:docPr id="960616378" name="Picture 2" descr="A picture containing text, map, diagram, at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616378" name="Picture 2" descr="A picture containing text, map, diagram, atla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79524" cy="5084643"/>
                    </a:xfrm>
                    <a:prstGeom prst="rect">
                      <a:avLst/>
                    </a:prstGeom>
                  </pic:spPr>
                </pic:pic>
              </a:graphicData>
            </a:graphic>
          </wp:inline>
        </w:drawing>
      </w:r>
    </w:p>
    <w:p w14:paraId="1D4746DF" w14:textId="7207F6C3"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Figure x:</w:t>
      </w:r>
      <w:r w:rsidR="00A1185F">
        <w:rPr>
          <w:rFonts w:ascii="Times New Roman" w:hAnsi="Times New Roman" w:cs="Times New Roman"/>
          <w:b/>
          <w:bCs/>
          <w:sz w:val="24"/>
          <w:szCs w:val="24"/>
        </w:rPr>
        <w:t xml:space="preserve"> </w:t>
      </w:r>
      <w:bookmarkStart w:id="0" w:name="_Hlk138934001"/>
      <w:r w:rsidR="00A1185F">
        <w:rPr>
          <w:rFonts w:ascii="Times New Roman" w:hAnsi="Times New Roman" w:cs="Times New Roman"/>
          <w:b/>
          <w:bCs/>
          <w:sz w:val="24"/>
          <w:szCs w:val="24"/>
        </w:rPr>
        <w:t>Groundwater quality index based on the background condition of the unconfined aquifer system.</w:t>
      </w:r>
      <w:bookmarkEnd w:id="0"/>
    </w:p>
    <w:p w14:paraId="0FEC29B0" w14:textId="77777777" w:rsidR="00A1185F" w:rsidRDefault="00A1185F" w:rsidP="00762F24">
      <w:pPr>
        <w:spacing w:line="360" w:lineRule="auto"/>
        <w:jc w:val="both"/>
        <w:rPr>
          <w:rFonts w:ascii="Times New Roman" w:hAnsi="Times New Roman" w:cs="Times New Roman"/>
          <w:b/>
          <w:bCs/>
          <w:sz w:val="24"/>
          <w:szCs w:val="24"/>
        </w:rPr>
      </w:pPr>
    </w:p>
    <w:p w14:paraId="4DEE7C3F" w14:textId="0A0B4C96"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6E85D19C" wp14:editId="4F18C762">
            <wp:extent cx="6691423" cy="5018567"/>
            <wp:effectExtent l="0" t="0" r="0" b="0"/>
            <wp:docPr id="1412068792" name="Picture 3" descr="A picture containing text, map,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068792" name="Picture 3" descr="A picture containing text, map, 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98404" cy="5023803"/>
                    </a:xfrm>
                    <a:prstGeom prst="rect">
                      <a:avLst/>
                    </a:prstGeom>
                  </pic:spPr>
                </pic:pic>
              </a:graphicData>
            </a:graphic>
          </wp:inline>
        </w:drawing>
      </w:r>
    </w:p>
    <w:p w14:paraId="68526A8A" w14:textId="1698BE0E"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Figure xx:</w:t>
      </w:r>
      <w:r w:rsidR="00527CF2">
        <w:rPr>
          <w:rFonts w:ascii="Times New Roman" w:hAnsi="Times New Roman" w:cs="Times New Roman"/>
          <w:b/>
          <w:bCs/>
          <w:sz w:val="24"/>
          <w:szCs w:val="24"/>
        </w:rPr>
        <w:t xml:space="preserve"> </w:t>
      </w:r>
      <w:r w:rsidR="00527CF2">
        <w:rPr>
          <w:rFonts w:ascii="Times New Roman" w:hAnsi="Times New Roman" w:cs="Times New Roman"/>
          <w:b/>
          <w:bCs/>
          <w:sz w:val="24"/>
          <w:szCs w:val="24"/>
        </w:rPr>
        <w:t xml:space="preserve">Groundwater quality index based on the </w:t>
      </w:r>
      <w:r w:rsidR="00527CF2">
        <w:rPr>
          <w:rFonts w:ascii="Times New Roman" w:hAnsi="Times New Roman" w:cs="Times New Roman"/>
          <w:b/>
          <w:bCs/>
          <w:sz w:val="24"/>
          <w:szCs w:val="24"/>
        </w:rPr>
        <w:t>water quality standards for drinking water</w:t>
      </w:r>
      <w:r w:rsidR="00527CF2">
        <w:rPr>
          <w:rFonts w:ascii="Times New Roman" w:hAnsi="Times New Roman" w:cs="Times New Roman"/>
          <w:b/>
          <w:bCs/>
          <w:sz w:val="24"/>
          <w:szCs w:val="24"/>
        </w:rPr>
        <w:t>.</w:t>
      </w:r>
    </w:p>
    <w:p w14:paraId="7D758963" w14:textId="3BC27FDE" w:rsidR="00A1185F" w:rsidRPr="00527CF2" w:rsidRDefault="00527CF2"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Based on the analysis of groundwater quality using the drinking water guidelines, figure xx below shows that the catchment has shifted from the range of 0 to 25 and now includes values greater than 100.</w:t>
      </w:r>
      <w:r>
        <w:rPr>
          <w:rFonts w:ascii="Times New Roman" w:hAnsi="Times New Roman" w:cs="Times New Roman"/>
          <w:sz w:val="24"/>
          <w:szCs w:val="24"/>
        </w:rPr>
        <w:t xml:space="preserve"> The high range is a result of the high salinity levels.</w:t>
      </w:r>
    </w:p>
    <w:p w14:paraId="202890D2" w14:textId="570AF3C5"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Confined aquifer system</w:t>
      </w:r>
    </w:p>
    <w:p w14:paraId="48A0669E" w14:textId="6F77CD42"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620A5EAD" wp14:editId="04DCCE85">
            <wp:extent cx="6762307" cy="5071730"/>
            <wp:effectExtent l="0" t="0" r="635" b="0"/>
            <wp:docPr id="1857867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86733" name="Picture 18578673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769004" cy="5076753"/>
                    </a:xfrm>
                    <a:prstGeom prst="rect">
                      <a:avLst/>
                    </a:prstGeom>
                  </pic:spPr>
                </pic:pic>
              </a:graphicData>
            </a:graphic>
          </wp:inline>
        </w:drawing>
      </w:r>
    </w:p>
    <w:p w14:paraId="57454290" w14:textId="66A67027"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Figure xxx:</w:t>
      </w:r>
      <w:r w:rsidR="00527CF2">
        <w:rPr>
          <w:rFonts w:ascii="Times New Roman" w:hAnsi="Times New Roman" w:cs="Times New Roman"/>
          <w:b/>
          <w:bCs/>
          <w:sz w:val="24"/>
          <w:szCs w:val="24"/>
        </w:rPr>
        <w:t xml:space="preserve"> </w:t>
      </w:r>
      <w:r w:rsidR="00527CF2">
        <w:rPr>
          <w:rFonts w:ascii="Times New Roman" w:hAnsi="Times New Roman" w:cs="Times New Roman"/>
          <w:b/>
          <w:bCs/>
          <w:sz w:val="24"/>
          <w:szCs w:val="24"/>
        </w:rPr>
        <w:t>Groundwater quality index based on the background condition of the confined aquifer system.</w:t>
      </w:r>
    </w:p>
    <w:p w14:paraId="2BD52C1E" w14:textId="2131218E" w:rsidR="00FB6932" w:rsidRDefault="00FB6932" w:rsidP="00762F24">
      <w:pPr>
        <w:spacing w:line="360" w:lineRule="auto"/>
        <w:jc w:val="both"/>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74E0F596" wp14:editId="4E90B27C">
            <wp:extent cx="6719777" cy="5039833"/>
            <wp:effectExtent l="0" t="0" r="5080" b="8890"/>
            <wp:docPr id="13962032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203207" name="Picture 139620320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731849" cy="5048887"/>
                    </a:xfrm>
                    <a:prstGeom prst="rect">
                      <a:avLst/>
                    </a:prstGeom>
                  </pic:spPr>
                </pic:pic>
              </a:graphicData>
            </a:graphic>
          </wp:inline>
        </w:drawing>
      </w:r>
    </w:p>
    <w:p w14:paraId="07A931E3" w14:textId="6799D4BC" w:rsidR="006E03C3" w:rsidRPr="006E03C3" w:rsidRDefault="006E03C3" w:rsidP="00762F24">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Figure xx: Groundwater quality index based on the water quality standards for drinking water.</w:t>
      </w:r>
    </w:p>
    <w:p w14:paraId="1959D83D" w14:textId="712DDDF7" w:rsidR="00527CF2" w:rsidRDefault="00527CF2"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Monitoring groundwater quality needs to be done at the delineated aquifer systems. This has been demonstrated in this case study as in the unconfined aquifer system the range of 26 to 50 was closer to the coast. Whereas, in the confined aquifer system it is in the upper section of the catchment. So if monitoring is not done based on the delineated aquifer systems the in accurate conclusions could be drawn from such studies.</w:t>
      </w:r>
    </w:p>
    <w:p w14:paraId="4ED38CBF" w14:textId="42EB60C0" w:rsidR="006E03C3" w:rsidRDefault="006E03C3" w:rsidP="00762F24">
      <w:pPr>
        <w:spacing w:line="360" w:lineRule="auto"/>
        <w:jc w:val="both"/>
        <w:rPr>
          <w:rFonts w:ascii="Times New Roman" w:hAnsi="Times New Roman" w:cs="Times New Roman"/>
          <w:sz w:val="24"/>
          <w:szCs w:val="24"/>
        </w:rPr>
      </w:pPr>
      <w:r>
        <w:rPr>
          <w:rFonts w:ascii="Times New Roman" w:hAnsi="Times New Roman" w:cs="Times New Roman"/>
          <w:sz w:val="24"/>
          <w:szCs w:val="24"/>
        </w:rPr>
        <w:t>References</w:t>
      </w:r>
    </w:p>
    <w:p w14:paraId="49124717" w14:textId="77777777" w:rsidR="00491FCC" w:rsidRDefault="00491FCC" w:rsidP="00491FCC">
      <w:pPr>
        <w:ind w:left="720" w:hanging="720"/>
        <w:rPr>
          <w:rFonts w:ascii="Times New Roman" w:hAnsi="Times New Roman" w:cs="Times New Roman"/>
          <w:sz w:val="24"/>
          <w:szCs w:val="24"/>
        </w:rPr>
      </w:pPr>
      <w:r w:rsidRPr="005D4A2B">
        <w:rPr>
          <w:rFonts w:ascii="Times New Roman" w:hAnsi="Times New Roman" w:cs="Times New Roman"/>
          <w:sz w:val="24"/>
          <w:szCs w:val="24"/>
        </w:rPr>
        <w:t xml:space="preserve">Brown RM, </w:t>
      </w:r>
      <w:proofErr w:type="spellStart"/>
      <w:r w:rsidRPr="005D4A2B">
        <w:rPr>
          <w:rFonts w:ascii="Times New Roman" w:hAnsi="Times New Roman" w:cs="Times New Roman"/>
          <w:sz w:val="24"/>
          <w:szCs w:val="24"/>
        </w:rPr>
        <w:t>Mccleiland</w:t>
      </w:r>
      <w:proofErr w:type="spellEnd"/>
      <w:r w:rsidRPr="005D4A2B">
        <w:rPr>
          <w:rFonts w:ascii="Times New Roman" w:hAnsi="Times New Roman" w:cs="Times New Roman"/>
          <w:sz w:val="24"/>
          <w:szCs w:val="24"/>
        </w:rPr>
        <w:t xml:space="preserve"> NJ, </w:t>
      </w:r>
      <w:proofErr w:type="spellStart"/>
      <w:r w:rsidRPr="005D4A2B">
        <w:rPr>
          <w:rFonts w:ascii="Times New Roman" w:hAnsi="Times New Roman" w:cs="Times New Roman"/>
          <w:sz w:val="24"/>
          <w:szCs w:val="24"/>
        </w:rPr>
        <w:t>Deiniger</w:t>
      </w:r>
      <w:proofErr w:type="spellEnd"/>
      <w:r w:rsidRPr="005D4A2B">
        <w:rPr>
          <w:rFonts w:ascii="Times New Roman" w:hAnsi="Times New Roman" w:cs="Times New Roman"/>
          <w:sz w:val="24"/>
          <w:szCs w:val="24"/>
        </w:rPr>
        <w:t xml:space="preserve"> RA, O’Connor MF (1972) Water quality index-crossing the physical barrier. Res Jerusalem 6:787–797</w:t>
      </w:r>
    </w:p>
    <w:p w14:paraId="5D3E25BB" w14:textId="77777777" w:rsidR="00491FCC" w:rsidRDefault="00491FCC" w:rsidP="00491FCC">
      <w:pPr>
        <w:ind w:left="720" w:hanging="720"/>
        <w:jc w:val="both"/>
        <w:rPr>
          <w:rFonts w:ascii="Times New Roman" w:hAnsi="Times New Roman" w:cs="Times New Roman"/>
          <w:sz w:val="24"/>
          <w:szCs w:val="24"/>
        </w:rPr>
      </w:pPr>
      <w:r w:rsidRPr="00631835">
        <w:rPr>
          <w:rFonts w:ascii="Times New Roman" w:hAnsi="Times New Roman" w:cs="Times New Roman"/>
          <w:sz w:val="24"/>
          <w:szCs w:val="24"/>
        </w:rPr>
        <w:lastRenderedPageBreak/>
        <w:t xml:space="preserve">Chatterjee C, </w:t>
      </w:r>
      <w:proofErr w:type="spellStart"/>
      <w:r w:rsidRPr="00631835">
        <w:rPr>
          <w:rFonts w:ascii="Times New Roman" w:hAnsi="Times New Roman" w:cs="Times New Roman"/>
          <w:sz w:val="24"/>
          <w:szCs w:val="24"/>
        </w:rPr>
        <w:t>Raziuddin</w:t>
      </w:r>
      <w:proofErr w:type="spellEnd"/>
      <w:r w:rsidRPr="00631835">
        <w:rPr>
          <w:rFonts w:ascii="Times New Roman" w:hAnsi="Times New Roman" w:cs="Times New Roman"/>
          <w:sz w:val="24"/>
          <w:szCs w:val="24"/>
        </w:rPr>
        <w:t xml:space="preserve"> M (2002) Determination of Water Quality Index (WQI) of a degraded river in Asansol industrial area (West Bengal). Nat Environ </w:t>
      </w:r>
      <w:proofErr w:type="spellStart"/>
      <w:r w:rsidRPr="00631835">
        <w:rPr>
          <w:rFonts w:ascii="Times New Roman" w:hAnsi="Times New Roman" w:cs="Times New Roman"/>
          <w:sz w:val="24"/>
          <w:szCs w:val="24"/>
        </w:rPr>
        <w:t>Pollut</w:t>
      </w:r>
      <w:proofErr w:type="spellEnd"/>
      <w:r w:rsidRPr="00631835">
        <w:rPr>
          <w:rFonts w:ascii="Times New Roman" w:hAnsi="Times New Roman" w:cs="Times New Roman"/>
          <w:sz w:val="24"/>
          <w:szCs w:val="24"/>
        </w:rPr>
        <w:t xml:space="preserve"> Technol 1:181–189</w:t>
      </w:r>
    </w:p>
    <w:p w14:paraId="0602A370" w14:textId="1BD4CD49" w:rsidR="00491FCC" w:rsidRPr="00491FCC" w:rsidRDefault="00491FCC" w:rsidP="00491FCC">
      <w:pPr>
        <w:widowControl w:val="0"/>
        <w:autoSpaceDE w:val="0"/>
        <w:autoSpaceDN w:val="0"/>
        <w:adjustRightInd w:val="0"/>
        <w:spacing w:after="0" w:line="240" w:lineRule="auto"/>
        <w:ind w:left="480" w:hanging="480"/>
        <w:rPr>
          <w:rFonts w:ascii="Times New Roman" w:hAnsi="Times New Roman" w:cs="Times New Roman"/>
          <w:noProof/>
          <w:kern w:val="0"/>
          <w:sz w:val="24"/>
          <w:szCs w:val="24"/>
        </w:rPr>
      </w:pPr>
      <w:r>
        <w:rPr>
          <w:rFonts w:ascii="Times New Roman" w:hAnsi="Times New Roman" w:cs="Times New Roman"/>
          <w:sz w:val="24"/>
          <w:szCs w:val="24"/>
        </w:rPr>
        <w:fldChar w:fldCharType="begin" w:fldLock="1"/>
      </w:r>
      <w:r>
        <w:rPr>
          <w:rFonts w:ascii="Times New Roman" w:hAnsi="Times New Roman" w:cs="Times New Roman"/>
          <w:sz w:val="24"/>
          <w:szCs w:val="24"/>
        </w:rPr>
        <w:instrText xml:space="preserve">ADDIN Mendeley Bibliography CSL_BIBLIOGRAPHY </w:instrText>
      </w:r>
      <w:r>
        <w:rPr>
          <w:rFonts w:ascii="Times New Roman" w:hAnsi="Times New Roman" w:cs="Times New Roman"/>
          <w:sz w:val="24"/>
          <w:szCs w:val="24"/>
        </w:rPr>
        <w:fldChar w:fldCharType="separate"/>
      </w:r>
      <w:r w:rsidRPr="00491FCC">
        <w:rPr>
          <w:rFonts w:ascii="Times New Roman" w:hAnsi="Times New Roman" w:cs="Times New Roman"/>
          <w:noProof/>
          <w:kern w:val="0"/>
          <w:sz w:val="24"/>
          <w:szCs w:val="24"/>
        </w:rPr>
        <w:t xml:space="preserve">Nzama, S. M., Kanyerere, T. O. B., &amp; Mapoma, H. W. T. (2021). Using groundwater quality index and concentration duration curves for classification and protection of groundwater resources: relevance of groundwater quality of reserve determination, South Africa. </w:t>
      </w:r>
      <w:r w:rsidRPr="00491FCC">
        <w:rPr>
          <w:rFonts w:ascii="Times New Roman" w:hAnsi="Times New Roman" w:cs="Times New Roman"/>
          <w:i/>
          <w:iCs/>
          <w:noProof/>
          <w:kern w:val="0"/>
          <w:sz w:val="24"/>
          <w:szCs w:val="24"/>
        </w:rPr>
        <w:t>Sustainable Water Resources Management</w:t>
      </w:r>
      <w:r w:rsidRPr="00491FCC">
        <w:rPr>
          <w:rFonts w:ascii="Times New Roman" w:hAnsi="Times New Roman" w:cs="Times New Roman"/>
          <w:noProof/>
          <w:kern w:val="0"/>
          <w:sz w:val="24"/>
          <w:szCs w:val="24"/>
        </w:rPr>
        <w:t xml:space="preserve">, </w:t>
      </w:r>
      <w:r w:rsidRPr="00491FCC">
        <w:rPr>
          <w:rFonts w:ascii="Times New Roman" w:hAnsi="Times New Roman" w:cs="Times New Roman"/>
          <w:i/>
          <w:iCs/>
          <w:noProof/>
          <w:kern w:val="0"/>
          <w:sz w:val="24"/>
          <w:szCs w:val="24"/>
        </w:rPr>
        <w:t>7</w:t>
      </w:r>
      <w:r w:rsidRPr="00491FCC">
        <w:rPr>
          <w:rFonts w:ascii="Times New Roman" w:hAnsi="Times New Roman" w:cs="Times New Roman"/>
          <w:noProof/>
          <w:kern w:val="0"/>
          <w:sz w:val="24"/>
          <w:szCs w:val="24"/>
        </w:rPr>
        <w:t>(3), 1–11. https://doi.org/10.1007/s40899-021-00503-1</w:t>
      </w:r>
    </w:p>
    <w:p w14:paraId="2E44BA0F" w14:textId="77777777" w:rsidR="00491FCC" w:rsidRPr="00491FCC" w:rsidRDefault="00491FCC" w:rsidP="00491FCC">
      <w:pPr>
        <w:widowControl w:val="0"/>
        <w:autoSpaceDE w:val="0"/>
        <w:autoSpaceDN w:val="0"/>
        <w:adjustRightInd w:val="0"/>
        <w:spacing w:after="0" w:line="240" w:lineRule="auto"/>
        <w:ind w:left="480" w:hanging="480"/>
        <w:rPr>
          <w:rFonts w:ascii="Times New Roman" w:hAnsi="Times New Roman" w:cs="Times New Roman"/>
          <w:noProof/>
          <w:kern w:val="0"/>
          <w:sz w:val="24"/>
          <w:szCs w:val="24"/>
        </w:rPr>
      </w:pPr>
      <w:r w:rsidRPr="00491FCC">
        <w:rPr>
          <w:rFonts w:ascii="Times New Roman" w:hAnsi="Times New Roman" w:cs="Times New Roman"/>
          <w:noProof/>
          <w:kern w:val="0"/>
          <w:sz w:val="24"/>
          <w:szCs w:val="24"/>
        </w:rPr>
        <w:t xml:space="preserve">Ram, A., Tiwari, S. K., Pandey, H. K., Chaurasia, A. K., Singh, S., &amp; Singh, Y. V. (2021). Groundwater quality assessment using water quality index (WQI) under GIS framework. </w:t>
      </w:r>
      <w:r w:rsidRPr="00491FCC">
        <w:rPr>
          <w:rFonts w:ascii="Times New Roman" w:hAnsi="Times New Roman" w:cs="Times New Roman"/>
          <w:i/>
          <w:iCs/>
          <w:noProof/>
          <w:kern w:val="0"/>
          <w:sz w:val="24"/>
          <w:szCs w:val="24"/>
        </w:rPr>
        <w:t>Applied Water Science</w:t>
      </w:r>
      <w:r w:rsidRPr="00491FCC">
        <w:rPr>
          <w:rFonts w:ascii="Times New Roman" w:hAnsi="Times New Roman" w:cs="Times New Roman"/>
          <w:noProof/>
          <w:kern w:val="0"/>
          <w:sz w:val="24"/>
          <w:szCs w:val="24"/>
        </w:rPr>
        <w:t xml:space="preserve">, </w:t>
      </w:r>
      <w:r w:rsidRPr="00491FCC">
        <w:rPr>
          <w:rFonts w:ascii="Times New Roman" w:hAnsi="Times New Roman" w:cs="Times New Roman"/>
          <w:i/>
          <w:iCs/>
          <w:noProof/>
          <w:kern w:val="0"/>
          <w:sz w:val="24"/>
          <w:szCs w:val="24"/>
        </w:rPr>
        <w:t>11</w:t>
      </w:r>
      <w:r w:rsidRPr="00491FCC">
        <w:rPr>
          <w:rFonts w:ascii="Times New Roman" w:hAnsi="Times New Roman" w:cs="Times New Roman"/>
          <w:noProof/>
          <w:kern w:val="0"/>
          <w:sz w:val="24"/>
          <w:szCs w:val="24"/>
        </w:rPr>
        <w:t>(2), 1–20. https://doi.org/10.1007/s13201-021-01376-7</w:t>
      </w:r>
    </w:p>
    <w:p w14:paraId="1DA29809" w14:textId="77777777" w:rsidR="00491FCC" w:rsidRPr="00491FCC" w:rsidRDefault="00491FCC" w:rsidP="00491FCC">
      <w:pPr>
        <w:widowControl w:val="0"/>
        <w:autoSpaceDE w:val="0"/>
        <w:autoSpaceDN w:val="0"/>
        <w:adjustRightInd w:val="0"/>
        <w:spacing w:after="0" w:line="240" w:lineRule="auto"/>
        <w:ind w:left="480" w:hanging="480"/>
        <w:rPr>
          <w:rFonts w:ascii="Times New Roman" w:hAnsi="Times New Roman" w:cs="Times New Roman"/>
          <w:noProof/>
          <w:sz w:val="24"/>
        </w:rPr>
      </w:pPr>
      <w:r w:rsidRPr="00491FCC">
        <w:rPr>
          <w:rFonts w:ascii="Times New Roman" w:hAnsi="Times New Roman" w:cs="Times New Roman"/>
          <w:noProof/>
          <w:kern w:val="0"/>
          <w:sz w:val="24"/>
          <w:szCs w:val="24"/>
        </w:rPr>
        <w:t xml:space="preserve">Saleem, M., Hussain, A., &amp; Mahmood, G. (2016). Analysis of groundwater quality using water quality index: A case study of greater Noida (Region), Uttar Pradesh (U.P), India. </w:t>
      </w:r>
      <w:r w:rsidRPr="00491FCC">
        <w:rPr>
          <w:rFonts w:ascii="Times New Roman" w:hAnsi="Times New Roman" w:cs="Times New Roman"/>
          <w:i/>
          <w:iCs/>
          <w:noProof/>
          <w:kern w:val="0"/>
          <w:sz w:val="24"/>
          <w:szCs w:val="24"/>
        </w:rPr>
        <w:t>Cogent Engineering</w:t>
      </w:r>
      <w:r w:rsidRPr="00491FCC">
        <w:rPr>
          <w:rFonts w:ascii="Times New Roman" w:hAnsi="Times New Roman" w:cs="Times New Roman"/>
          <w:noProof/>
          <w:kern w:val="0"/>
          <w:sz w:val="24"/>
          <w:szCs w:val="24"/>
        </w:rPr>
        <w:t xml:space="preserve">, </w:t>
      </w:r>
      <w:r w:rsidRPr="00491FCC">
        <w:rPr>
          <w:rFonts w:ascii="Times New Roman" w:hAnsi="Times New Roman" w:cs="Times New Roman"/>
          <w:i/>
          <w:iCs/>
          <w:noProof/>
          <w:kern w:val="0"/>
          <w:sz w:val="24"/>
          <w:szCs w:val="24"/>
        </w:rPr>
        <w:t>3</w:t>
      </w:r>
      <w:r w:rsidRPr="00491FCC">
        <w:rPr>
          <w:rFonts w:ascii="Times New Roman" w:hAnsi="Times New Roman" w:cs="Times New Roman"/>
          <w:noProof/>
          <w:kern w:val="0"/>
          <w:sz w:val="24"/>
          <w:szCs w:val="24"/>
        </w:rPr>
        <w:t>(1). https://doi.org/10.1080/23311916.2016.1237927</w:t>
      </w:r>
    </w:p>
    <w:p w14:paraId="6FE60986" w14:textId="4C38F393" w:rsidR="00491FCC" w:rsidRDefault="00491FCC" w:rsidP="00491FCC">
      <w:pPr>
        <w:ind w:left="720" w:hanging="720"/>
        <w:jc w:val="both"/>
        <w:rPr>
          <w:rFonts w:ascii="Times New Roman" w:hAnsi="Times New Roman" w:cs="Times New Roman"/>
          <w:sz w:val="24"/>
          <w:szCs w:val="24"/>
        </w:rPr>
      </w:pPr>
      <w:r>
        <w:rPr>
          <w:rFonts w:ascii="Times New Roman" w:hAnsi="Times New Roman" w:cs="Times New Roman"/>
          <w:sz w:val="24"/>
          <w:szCs w:val="24"/>
        </w:rPr>
        <w:fldChar w:fldCharType="end"/>
      </w:r>
      <w:r w:rsidRPr="00491FCC">
        <w:rPr>
          <w:rFonts w:ascii="Times New Roman" w:hAnsi="Times New Roman" w:cs="Times New Roman"/>
          <w:sz w:val="24"/>
          <w:szCs w:val="24"/>
        </w:rPr>
        <w:t xml:space="preserve"> </w:t>
      </w:r>
      <w:r w:rsidRPr="00631835">
        <w:rPr>
          <w:rFonts w:ascii="Times New Roman" w:hAnsi="Times New Roman" w:cs="Times New Roman"/>
          <w:sz w:val="24"/>
          <w:szCs w:val="24"/>
        </w:rPr>
        <w:t xml:space="preserve">Shankar K, </w:t>
      </w:r>
      <w:proofErr w:type="spellStart"/>
      <w:r w:rsidRPr="00631835">
        <w:rPr>
          <w:rFonts w:ascii="Times New Roman" w:hAnsi="Times New Roman" w:cs="Times New Roman"/>
          <w:sz w:val="24"/>
          <w:szCs w:val="24"/>
        </w:rPr>
        <w:t>Kawo</w:t>
      </w:r>
      <w:proofErr w:type="spellEnd"/>
      <w:r w:rsidRPr="00631835">
        <w:rPr>
          <w:rFonts w:ascii="Times New Roman" w:hAnsi="Times New Roman" w:cs="Times New Roman"/>
          <w:sz w:val="24"/>
          <w:szCs w:val="24"/>
        </w:rPr>
        <w:t xml:space="preserve"> NS (2019) Groundwater quality assessment using geospatial techniques and WQI in Northeast of </w:t>
      </w:r>
      <w:proofErr w:type="spellStart"/>
      <w:r w:rsidRPr="00631835">
        <w:rPr>
          <w:rFonts w:ascii="Times New Roman" w:hAnsi="Times New Roman" w:cs="Times New Roman"/>
          <w:sz w:val="24"/>
          <w:szCs w:val="24"/>
        </w:rPr>
        <w:t>Adama</w:t>
      </w:r>
      <w:proofErr w:type="spellEnd"/>
      <w:r w:rsidRPr="00631835">
        <w:rPr>
          <w:rFonts w:ascii="Times New Roman" w:hAnsi="Times New Roman" w:cs="Times New Roman"/>
          <w:sz w:val="24"/>
          <w:szCs w:val="24"/>
        </w:rPr>
        <w:t xml:space="preserve"> Town, Oromia Region. Ethiopia </w:t>
      </w:r>
      <w:proofErr w:type="spellStart"/>
      <w:r w:rsidRPr="00631835">
        <w:rPr>
          <w:rFonts w:ascii="Times New Roman" w:hAnsi="Times New Roman" w:cs="Times New Roman"/>
          <w:sz w:val="24"/>
          <w:szCs w:val="24"/>
        </w:rPr>
        <w:t>Hydrospatial</w:t>
      </w:r>
      <w:proofErr w:type="spellEnd"/>
      <w:r w:rsidRPr="00631835">
        <w:rPr>
          <w:rFonts w:ascii="Times New Roman" w:hAnsi="Times New Roman" w:cs="Times New Roman"/>
          <w:sz w:val="24"/>
          <w:szCs w:val="24"/>
        </w:rPr>
        <w:t xml:space="preserve"> Anal 3(1):22–36</w:t>
      </w:r>
    </w:p>
    <w:p w14:paraId="670843C7" w14:textId="77777777" w:rsidR="00491FCC" w:rsidRDefault="00491FCC" w:rsidP="00491FCC">
      <w:pPr>
        <w:autoSpaceDE w:val="0"/>
        <w:autoSpaceDN w:val="0"/>
        <w:adjustRightInd w:val="0"/>
        <w:spacing w:after="0" w:line="240" w:lineRule="auto"/>
        <w:ind w:left="720" w:hanging="720"/>
        <w:jc w:val="both"/>
        <w:rPr>
          <w:rFonts w:ascii="Times New Roman" w:hAnsi="Times New Roman" w:cs="Times New Roman"/>
          <w:sz w:val="24"/>
          <w:szCs w:val="24"/>
        </w:rPr>
      </w:pPr>
      <w:r w:rsidRPr="006E03C3">
        <w:rPr>
          <w:rFonts w:ascii="Times New Roman" w:hAnsi="Times New Roman" w:cs="Times New Roman"/>
          <w:sz w:val="24"/>
          <w:szCs w:val="24"/>
        </w:rPr>
        <w:t>South African National Standard 241 (SANS 24) (2015) Drinking</w:t>
      </w:r>
      <w:r>
        <w:rPr>
          <w:rFonts w:ascii="Times New Roman" w:hAnsi="Times New Roman" w:cs="Times New Roman"/>
          <w:sz w:val="24"/>
          <w:szCs w:val="24"/>
        </w:rPr>
        <w:t xml:space="preserve"> </w:t>
      </w:r>
      <w:r w:rsidRPr="006E03C3">
        <w:rPr>
          <w:rFonts w:ascii="Times New Roman" w:hAnsi="Times New Roman" w:cs="Times New Roman"/>
          <w:sz w:val="24"/>
          <w:szCs w:val="24"/>
        </w:rPr>
        <w:t>water. Part 1: microbiological, physical, aesthetic and chemical</w:t>
      </w:r>
      <w:r>
        <w:rPr>
          <w:rFonts w:ascii="Times New Roman" w:hAnsi="Times New Roman" w:cs="Times New Roman"/>
          <w:sz w:val="24"/>
          <w:szCs w:val="24"/>
        </w:rPr>
        <w:t xml:space="preserve"> </w:t>
      </w:r>
      <w:r w:rsidRPr="006E03C3">
        <w:rPr>
          <w:rFonts w:ascii="Times New Roman" w:hAnsi="Times New Roman" w:cs="Times New Roman"/>
          <w:sz w:val="24"/>
          <w:szCs w:val="24"/>
        </w:rPr>
        <w:t xml:space="preserve">determinants, 2nd </w:t>
      </w:r>
      <w:proofErr w:type="spellStart"/>
      <w:r w:rsidRPr="006E03C3">
        <w:rPr>
          <w:rFonts w:ascii="Times New Roman" w:hAnsi="Times New Roman" w:cs="Times New Roman"/>
          <w:sz w:val="24"/>
          <w:szCs w:val="24"/>
        </w:rPr>
        <w:t>edn</w:t>
      </w:r>
      <w:proofErr w:type="spellEnd"/>
      <w:r w:rsidRPr="006E03C3">
        <w:rPr>
          <w:rFonts w:ascii="Times New Roman" w:hAnsi="Times New Roman" w:cs="Times New Roman"/>
          <w:sz w:val="24"/>
          <w:szCs w:val="24"/>
        </w:rPr>
        <w:t>, South African Bauru of Standards</w:t>
      </w:r>
      <w:r>
        <w:rPr>
          <w:rFonts w:ascii="Times New Roman" w:hAnsi="Times New Roman" w:cs="Times New Roman"/>
          <w:sz w:val="24"/>
          <w:szCs w:val="24"/>
        </w:rPr>
        <w:t xml:space="preserve"> </w:t>
      </w:r>
      <w:r w:rsidRPr="006E03C3">
        <w:rPr>
          <w:rFonts w:ascii="Times New Roman" w:hAnsi="Times New Roman" w:cs="Times New Roman"/>
          <w:sz w:val="24"/>
          <w:szCs w:val="24"/>
        </w:rPr>
        <w:t>(SABS),</w:t>
      </w:r>
      <w:r>
        <w:rPr>
          <w:rFonts w:ascii="Times New Roman" w:hAnsi="Times New Roman" w:cs="Times New Roman"/>
          <w:sz w:val="24"/>
          <w:szCs w:val="24"/>
        </w:rPr>
        <w:t xml:space="preserve"> </w:t>
      </w:r>
      <w:r w:rsidRPr="006E03C3">
        <w:rPr>
          <w:rFonts w:ascii="Times New Roman" w:hAnsi="Times New Roman" w:cs="Times New Roman"/>
          <w:sz w:val="24"/>
          <w:szCs w:val="24"/>
        </w:rPr>
        <w:t>Private Bag x 191, Pretoria 0001, Republic of South</w:t>
      </w:r>
      <w:r>
        <w:rPr>
          <w:rFonts w:ascii="Times New Roman" w:hAnsi="Times New Roman" w:cs="Times New Roman"/>
          <w:sz w:val="24"/>
          <w:szCs w:val="24"/>
        </w:rPr>
        <w:t xml:space="preserve"> </w:t>
      </w:r>
      <w:r w:rsidRPr="006E03C3">
        <w:rPr>
          <w:rFonts w:ascii="Times New Roman" w:hAnsi="Times New Roman" w:cs="Times New Roman"/>
          <w:sz w:val="24"/>
          <w:szCs w:val="24"/>
        </w:rPr>
        <w:t>Africa</w:t>
      </w:r>
    </w:p>
    <w:p w14:paraId="2758BAE8" w14:textId="77777777" w:rsidR="00491FCC" w:rsidRDefault="00491FCC" w:rsidP="00491FCC">
      <w:pPr>
        <w:autoSpaceDE w:val="0"/>
        <w:autoSpaceDN w:val="0"/>
        <w:adjustRightInd w:val="0"/>
        <w:spacing w:after="0" w:line="240" w:lineRule="auto"/>
        <w:ind w:left="720" w:hanging="720"/>
        <w:jc w:val="both"/>
        <w:rPr>
          <w:rFonts w:ascii="Times New Roman" w:hAnsi="Times New Roman" w:cs="Times New Roman"/>
          <w:sz w:val="24"/>
          <w:szCs w:val="24"/>
        </w:rPr>
      </w:pPr>
      <w:r w:rsidRPr="006E03C3">
        <w:rPr>
          <w:rFonts w:ascii="Times New Roman" w:hAnsi="Times New Roman" w:cs="Times New Roman"/>
          <w:sz w:val="24"/>
          <w:szCs w:val="24"/>
        </w:rPr>
        <w:t>Water Research Commission (WRC) (1998) Quality of domestic water supplies-volume 1:</w:t>
      </w:r>
      <w:r>
        <w:rPr>
          <w:rFonts w:ascii="Times New Roman" w:hAnsi="Times New Roman" w:cs="Times New Roman"/>
          <w:sz w:val="24"/>
          <w:szCs w:val="24"/>
        </w:rPr>
        <w:t xml:space="preserve"> </w:t>
      </w:r>
      <w:r w:rsidRPr="006E03C3">
        <w:rPr>
          <w:rFonts w:ascii="Times New Roman" w:hAnsi="Times New Roman" w:cs="Times New Roman"/>
          <w:sz w:val="24"/>
          <w:szCs w:val="24"/>
        </w:rPr>
        <w:t xml:space="preserve">assessment guide, 2nd </w:t>
      </w:r>
      <w:proofErr w:type="spellStart"/>
      <w:r w:rsidRPr="006E03C3">
        <w:rPr>
          <w:rFonts w:ascii="Times New Roman" w:hAnsi="Times New Roman" w:cs="Times New Roman"/>
          <w:sz w:val="24"/>
          <w:szCs w:val="24"/>
        </w:rPr>
        <w:t>edn</w:t>
      </w:r>
      <w:proofErr w:type="spellEnd"/>
      <w:r w:rsidRPr="006E03C3">
        <w:rPr>
          <w:rFonts w:ascii="Times New Roman" w:hAnsi="Times New Roman" w:cs="Times New Roman"/>
          <w:sz w:val="24"/>
          <w:szCs w:val="24"/>
        </w:rPr>
        <w:t xml:space="preserve">, Water Research Commission Report No: TT 101/98. Water Research Commission, Private Bag x 03, </w:t>
      </w:r>
      <w:proofErr w:type="spellStart"/>
      <w:r w:rsidRPr="006E03C3">
        <w:rPr>
          <w:rFonts w:ascii="Times New Roman" w:hAnsi="Times New Roman" w:cs="Times New Roman"/>
          <w:sz w:val="24"/>
          <w:szCs w:val="24"/>
        </w:rPr>
        <w:t>Gezina</w:t>
      </w:r>
      <w:proofErr w:type="spellEnd"/>
      <w:r w:rsidRPr="006E03C3">
        <w:rPr>
          <w:rFonts w:ascii="Times New Roman" w:hAnsi="Times New Roman" w:cs="Times New Roman"/>
          <w:sz w:val="24"/>
          <w:szCs w:val="24"/>
        </w:rPr>
        <w:t>, 0031, Republic of South Africa</w:t>
      </w:r>
    </w:p>
    <w:p w14:paraId="591181F8" w14:textId="431D0AED" w:rsidR="00491FCC" w:rsidRPr="006E03C3" w:rsidRDefault="00491FCC" w:rsidP="006E03C3">
      <w:pPr>
        <w:autoSpaceDE w:val="0"/>
        <w:autoSpaceDN w:val="0"/>
        <w:adjustRightInd w:val="0"/>
        <w:spacing w:after="0" w:line="240" w:lineRule="auto"/>
        <w:jc w:val="both"/>
        <w:rPr>
          <w:rFonts w:ascii="Times New Roman" w:hAnsi="Times New Roman" w:cs="Times New Roman"/>
          <w:sz w:val="24"/>
          <w:szCs w:val="24"/>
        </w:rPr>
      </w:pPr>
    </w:p>
    <w:sectPr w:rsidR="00491FCC" w:rsidRPr="006E03C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4C62"/>
    <w:rsid w:val="000118EE"/>
    <w:rsid w:val="000644B5"/>
    <w:rsid w:val="000D6EE6"/>
    <w:rsid w:val="003433DC"/>
    <w:rsid w:val="0035605C"/>
    <w:rsid w:val="00491FCC"/>
    <w:rsid w:val="00527CF2"/>
    <w:rsid w:val="006E03C3"/>
    <w:rsid w:val="00747BD4"/>
    <w:rsid w:val="00762F24"/>
    <w:rsid w:val="00A1185F"/>
    <w:rsid w:val="00A46D1A"/>
    <w:rsid w:val="00A61324"/>
    <w:rsid w:val="00AB3439"/>
    <w:rsid w:val="00B04C62"/>
    <w:rsid w:val="00B22CD1"/>
    <w:rsid w:val="00B940A8"/>
    <w:rsid w:val="00E0059D"/>
    <w:rsid w:val="00FB69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D39FB5"/>
  <w15:chartTrackingRefBased/>
  <w15:docId w15:val="{FFBF11A2-DB40-4A81-82B8-A942E9D66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4C6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ink.springer.com/article/10.1007/s13201-021-01376-7" TargetMode="Externa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hyperlink" Target="https://link.springer.com/article/10.1007/s13201-021-01376-7" TargetMode="Externa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link.springer.com/article/10.1007/s13201-021-01376-7" TargetMode="External"/><Relationship Id="rId11" Type="http://schemas.openxmlformats.org/officeDocument/2006/relationships/image" Target="media/image3.jpeg"/><Relationship Id="rId5" Type="http://schemas.openxmlformats.org/officeDocument/2006/relationships/hyperlink" Target="https://link.springer.com/article/10.1007/s13201-021-01376-7" TargetMode="Externa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71C718-592D-457E-8C3B-012C017B93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381</TotalTime>
  <Pages>9</Pages>
  <Words>3127</Words>
  <Characters>17830</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abongile xaza</dc:creator>
  <cp:keywords/>
  <dc:description/>
  <cp:lastModifiedBy>abongile xaza</cp:lastModifiedBy>
  <cp:revision>4</cp:revision>
  <dcterms:created xsi:type="dcterms:W3CDTF">2023-06-27T09:36:00Z</dcterms:created>
  <dcterms:modified xsi:type="dcterms:W3CDTF">2023-06-29T10:56:00Z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6363d017-8073-31c5-b2d1-30fbe54465b0</vt:lpwstr>
  </property>
  <property fmtid="{D5CDD505-2E9C-101B-9397-08002B2CF9AE}" pid="24" name="Mendeley Citation Style_1">
    <vt:lpwstr>http://www.zotero.org/styles/apa</vt:lpwstr>
  </property>
</Properties>
</file>